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90" w:lineRule="atLeast"/>
        <w:jc w:val="left"/>
        <w:rPr>
          <w:b/>
          <w:bCs/>
          <w:sz w:val="30"/>
          <w:szCs w:val="30"/>
        </w:rPr>
      </w:pPr>
      <w:r>
        <w:rPr>
          <w:rFonts w:hint="eastAsia" w:ascii="宋体" w:hAnsi="宋体" w:eastAsia="宋体" w:cs="宋体"/>
          <w:b/>
          <w:bCs/>
          <w:color w:val="4C4948"/>
          <w:sz w:val="30"/>
          <w:szCs w:val="30"/>
          <w:bdr w:val="none" w:color="auto" w:sz="0" w:space="0"/>
        </w:rPr>
        <w:t>附件</w:t>
      </w:r>
    </w:p>
    <w:p>
      <w:pPr>
        <w:pStyle w:val="2"/>
        <w:keepNext w:val="0"/>
        <w:keepLines w:val="0"/>
        <w:widowControl/>
        <w:suppressLineNumbers w:val="0"/>
        <w:spacing w:line="390" w:lineRule="atLeast"/>
        <w:jc w:val="center"/>
        <w:rPr>
          <w:b/>
          <w:bCs/>
          <w:sz w:val="30"/>
          <w:szCs w:val="30"/>
        </w:rPr>
      </w:pPr>
      <w:r>
        <w:rPr>
          <w:rFonts w:hint="eastAsia" w:ascii="宋体" w:hAnsi="宋体" w:eastAsia="宋体" w:cs="宋体"/>
          <w:b/>
          <w:bCs/>
          <w:color w:val="4C4948"/>
          <w:sz w:val="30"/>
          <w:szCs w:val="30"/>
          <w:bdr w:val="none" w:color="auto" w:sz="0" w:space="0"/>
        </w:rPr>
        <w:t>《关于进一步降低企</w:t>
      </w:r>
      <w:bookmarkStart w:id="0" w:name="_GoBack"/>
      <w:bookmarkEnd w:id="0"/>
      <w:r>
        <w:rPr>
          <w:rFonts w:hint="eastAsia" w:ascii="宋体" w:hAnsi="宋体" w:eastAsia="宋体" w:cs="宋体"/>
          <w:b/>
          <w:bCs/>
          <w:color w:val="4C4948"/>
          <w:sz w:val="30"/>
          <w:szCs w:val="30"/>
          <w:bdr w:val="none" w:color="auto" w:sz="0" w:space="0"/>
        </w:rPr>
        <w:t>业成本减轻企业负担优化发展环境的若干意见任务分解方案》</w:t>
      </w:r>
    </w:p>
    <w:tbl>
      <w:tblPr>
        <w:tblW w:w="8302"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39"/>
        <w:gridCol w:w="1116"/>
        <w:gridCol w:w="4455"/>
        <w:gridCol w:w="906"/>
        <w:gridCol w:w="10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tblHeader/>
          <w:tblCellSpacing w:w="0" w:type="dxa"/>
          <w:jc w:val="center"/>
        </w:trPr>
        <w:tc>
          <w:tcPr>
            <w:tcW w:w="6310" w:type="dxa"/>
            <w:gridSpan w:val="3"/>
            <w:shd w:val="clear"/>
            <w:vAlign w:val="center"/>
          </w:tcPr>
          <w:p>
            <w:pPr>
              <w:pStyle w:val="2"/>
              <w:keepNext w:val="0"/>
              <w:keepLines w:val="0"/>
              <w:widowControl/>
              <w:suppressLineNumbers w:val="0"/>
              <w:jc w:val="center"/>
              <w:rPr>
                <w:sz w:val="24"/>
                <w:szCs w:val="24"/>
              </w:rPr>
            </w:pPr>
            <w:r>
              <w:rPr>
                <w:rFonts w:hint="eastAsia" w:ascii="宋体" w:hAnsi="宋体" w:eastAsia="宋体" w:cs="宋体"/>
                <w:b/>
                <w:sz w:val="24"/>
                <w:szCs w:val="24"/>
                <w:bdr w:val="none" w:color="auto" w:sz="0" w:space="0"/>
              </w:rPr>
              <w:t>内          容</w:t>
            </w:r>
          </w:p>
        </w:tc>
        <w:tc>
          <w:tcPr>
            <w:tcW w:w="906" w:type="dxa"/>
            <w:shd w:val="clear"/>
            <w:vAlign w:val="center"/>
          </w:tcPr>
          <w:p>
            <w:pPr>
              <w:pStyle w:val="2"/>
              <w:keepNext w:val="0"/>
              <w:keepLines w:val="0"/>
              <w:widowControl/>
              <w:suppressLineNumbers w:val="0"/>
              <w:jc w:val="center"/>
              <w:rPr>
                <w:sz w:val="24"/>
                <w:szCs w:val="24"/>
              </w:rPr>
            </w:pPr>
            <w:r>
              <w:rPr>
                <w:rFonts w:hint="eastAsia" w:ascii="宋体" w:hAnsi="宋体" w:eastAsia="宋体" w:cs="宋体"/>
                <w:b/>
                <w:sz w:val="24"/>
                <w:szCs w:val="24"/>
                <w:bdr w:val="none" w:color="auto" w:sz="0" w:space="0"/>
              </w:rPr>
              <w:t>牵头单位</w:t>
            </w:r>
          </w:p>
        </w:tc>
        <w:tc>
          <w:tcPr>
            <w:tcW w:w="1086" w:type="dxa"/>
            <w:shd w:val="clear"/>
            <w:vAlign w:val="center"/>
          </w:tcPr>
          <w:p>
            <w:pPr>
              <w:pStyle w:val="2"/>
              <w:keepNext w:val="0"/>
              <w:keepLines w:val="0"/>
              <w:widowControl/>
              <w:suppressLineNumbers w:val="0"/>
              <w:jc w:val="center"/>
              <w:rPr>
                <w:sz w:val="24"/>
                <w:szCs w:val="24"/>
              </w:rPr>
            </w:pPr>
            <w:r>
              <w:rPr>
                <w:rFonts w:hint="eastAsia" w:ascii="宋体" w:hAnsi="宋体" w:eastAsia="宋体" w:cs="宋体"/>
                <w:b/>
                <w:sz w:val="24"/>
                <w:szCs w:val="24"/>
                <w:bdr w:val="none" w:color="auto" w:sz="0" w:space="0"/>
              </w:rPr>
              <w:t>配合单位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01"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一、切实降低制度性交易成本</w:t>
            </w: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（一）深化行政审批制度改革</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深化“四张清单一张网”改革，建立健全“权力清单”和“责任清单”动态调整机制。全面清理行政审批前置服务项目，没有法律法规依据的行政审批前置服务项目一律取消。深化行政审批中介服务改革，建立行政审批中介网上超市，行政机关委托开展的评估评审等中介服务，通过竞争方式选择中介机构，服务费用一律由行政机关支付并纳入部门预算，具体办法按照市里政策执行。推进行政审批服务标准化建设，精简审批环节，区级部门设定的证明、盖章等审批前置条件和材料一律取消。推进行业联合审批标准建设，强化联审机制。</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区审管办、区编办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区发改局、区财政局、区法制办等区级相关部门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4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（二）深入推进商事制度改革</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全面落实注册资本登记改革，除国务院公布的银行、证券等27项暂不执行认缴登记制的行业外，其他全部实行实缴改认缴登记。进一步放宽我区市场主体住所（经营场所）登记条件，允许企业“一照多址”、“集中办公”、住宅商用和“商务秘书企业托管”。全面落实“五证合一、一照一码”登记改革，全面执行国务院取消的148项前置项目，保留34项前置事项的决定，建立全区前置改后置事项的共同监管机制。完善简易注销改革，建立便捷的市场退出机制。</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区市场监管局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8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（三）完善公共资源交易管理</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建立统一规范的公共资源交易平台，创新投标保证金收退模式，允许投标人依法使用工程投标保证金保险替代投标保证金。公共资源交易平台的各项交易服务费按50%收取，并免收信息服务费和场地租赁费，开放招标文件免费在线浏览功能，降低企业获得有效信息的成本。</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区审管办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二、切实降低企业税费负担</w:t>
            </w: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（四）全面推开“营改增”试点</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从2016年5月1日起，将“营改增”试点范围扩大到建筑业、房地产业、金融业、生活性服务业，并将所有企业新增不动产所含增值税纳入抵扣范围。</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区国税局、区地税局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（五）落实税收优惠政策</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积极引进培育高新技术企业，对引进的高新技术企业享受本区高新技术企业同等政策。</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区科技局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区财政局、区地税局、区国税局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严格落实高新技术企业减按15%税率征收企业所得税。支持符合条件的企业参加高新技术企业认定，对通过认定的企业按照国家税法规定享受相关税收优惠政策。落实企业研发费加计扣除政策，对企业开展研发活动中符合规定条件的研发费用，未形成无形资产计入当期损益的，在按规定据实扣除的基础上，按照本年度实际发生额的50%，从本年度应纳税所得额中扣除；形成无形资产的，按照无形资产成本的150%在税前摊销。企业符合研发加计扣除条件的工业设计费用，按照税法规定享受企业所得税前加计扣除政策。对符合条件的纳税人提供技术转让、技术开发和与之相关的技术咨询、技术服务免征增值税。落实固定资产加速折旧所得税政策，对规定领域重点行业小型微利企业2015年1月1日后新购进的研发和生产经营公用的仪器、设备，单位价值不超过100万元（含）的，允许在计算应纳税所得额时一次性全额扣除；单位价值超过100万的，允许缩短折旧年限或采取加速折旧方法。</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区地税局、区国税局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区科技局、区经信局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1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（六）取消、免（停）征、降低部分行政事业性收费</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取消或停征征地管理费、企业注册登记费、个体工商户注册登记费、工业产品许可证审查费、组织机构代码证书费、计量认证费、海关知识产权备案费等56项行政事业性收费。落实按月兑现浙商回归项目墙体材料专项基金、散装水泥专项资金“即征即退”政策，对散装水泥专项资金和工业企业项目的墙体材料专项基金实行缓缴，除工业企业项目以外的墙体材料专项基金按规定标准80%征收，水土保持补偿费、船舶及船用产品设施检验费、特种设备制造过程监督检验收费等4项行政事业性收费按规定标准的80%征收，住宿餐饮业计量器具检定收费按规定标准的50%征收。按规定新菜地开发建设基金征收标准降为零。减征地方水利建设基金，从2016年5月1日起，按现有费率的70%征收地方水利建设基金。</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4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厂区范围内的各类建筑免收人防工程易地建设费，6B级人防工程易地建设费由2000元/平方米调整至1000元/平方米。</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区人防办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残疾人就业保障金征收标准暂不作上调，维持2015年标准不变。自工商登记之日起3年内，对安排残疾人就业未达到规定比例、在职职工总数20人以下（含20人）的小微企业，免征残疾人就业保障金。</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区残联、区地税局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对尚未建立工会组织的企业暂缓收取建会筹备金。</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区总工会</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区国税局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9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（七）实行部分企业稳增促调政策补助</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按照相当于当年收取的土地使用税、水利建设基金总额的60%，建立稳增促调专项资金，用于企业转型升级补助。具体实施办法由区财政局、区经信局和区商务局牵头另行制定。</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区财政局、区经信局、区商务局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区地税局、区发改局、区商务局、区农林局、区住建局、区国土分局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（八）降低小微企业税费负担</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对月营业额不超过3万元（按季纳税9万元）的小微企业，免征增值税或营业税。对年应纳税所得额低于30万元（含）的符合条件的小型微利企业，其所得减按50%计入应纳税所得额，按20%的税率缴纳企业所得税。对金融机构与小微企业签订的借款合同免征印花税。免征小微企业不动产登记费、住房交易费等47项行政事业性收费。从2016年2月1日起，对按月纳税的月销售额或营业额不超过10万元（含）的缴纳义务人，免征教育费附加、地方教育附加、水利建设基金。税务机关应大力推广网上办税，积极推行企业涉税事项全区通办，优化办税流程，简并申报缴纳次数，根据企业实际情况和相关政策规定确定小微企业税收征收方式，不得强制要求小微企业进行税务代理。</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区地税局、区国税局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31"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二、切实降低企业税费负担</w:t>
            </w: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（九）加大企业兼并重组支持力度</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坚持“以兼并重组为主，破产清算为辅”的原则，全面落实国家和省、市支持企业兼并重组的相关优惠政策，减轻企业兼并重组过程中的税费负担，对非房地产开发企业实施的整体改建、合并、分立和以国有土地、房屋进行投资，符合国家政策规定条件的，暂不征收土地增值税。企业在资产重组中，通过合并、分立、出售等方式，将实物资产以及相关的债权、债务和劳动力一并转让给其他单位或个人，不征收增值税，涉及的不动产转让，转让方免征或不征收增值税，承让方免征或不征契税，企业兼并重组中涉及的房产过户，免收房屋交易手续费。支持行业优势企业和上市公司开展兼并重组，区按照与市财政分担比例给予企业重组所涉资产增值额2%补助，最高300万元。具体实施办法另行制定。</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区经信局、区发改局、区财政局、区国土分局、区商务局、区住建局、区金融办等区级相关部门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（十）清理规范涉企收费</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建立行政审批中介服务收费、涉企进出口环节经营服务收费、执法检查、行政罚款等各类项目的清单。</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区审管办、区发改局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宁波海关驻鄞州办事处、区法制办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政府定价和指导价的涉企经营服务性收费，一律按下限执行。</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9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（十一）清理规范社会团体收费</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严格规范行业协会商会会费收取行为，严禁以各种方式强制企业赞助捐赠、订购报刊、参加培训、加入社团、指定服务。建立政府向行业协会商会转移委托职能的清单目录，严禁行业协会商会利用行政资源强制向企业收取费用行为。切实推进行业协会商会与行政部门脱钩。</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区民政局、</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区编办、区发改局、各行业协会商会业务主管部门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1"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三、适当降低社会保险费率</w:t>
            </w: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（十二）下调医疗、生育保险费率</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从2016年2月1日起，城镇职工基本医疗保险单位缴费比例从11%降低到9%。</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区人社局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（十三）临时性下浮社会保险费缴费比例</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按市政府的总体部署，做好部分企业临时性下浮社会保险缴费比例的实施工作。继续对“小升规”企业按规定实施临时性下浮社会保险缴费比例。</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区人社局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8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（十四）降低失业保险费率</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继续执行失业保险费率从3%下降至2%，用人单位和职工个人缴纳费率各降0.5个百分点。在此基础上，对失业保险单位缴费实行临时性下调，从2016年5月1日至2018年12月31日，费率由1.5%降为1%。</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区人社局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（十五）下调工伤保险费率</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对不同工伤风险类别的行业执行不同的工伤保险行业基准费率，平均费率从0.95%降至0.61%。</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区人社局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四、切实降低企业财务成本</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四、切实降低企业财务成本</w:t>
            </w: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（十六）降低企业融资成本</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完善政府对银行机构考评机制，将银行小微企业贷款利率和恶意抽压贷情况纳入考评，并通报恶意抽贷银行名单。</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（十七）拓宽融资渠道</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落实推进上市和新三板扶持政策。鼓励扩大股权、债券等直接融资，大力发展应收账款融资。</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加快建立各类政府性产业基金，推动各类私募股权投资基金的引进和组建。</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发展普惠金融，争取各银行总行对宁波地区扩大信贷投放和资金配置。落实定向货币政策，加大信贷资源向中小微企业倾斜。</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逐步扩大政府应急转贷基金规模，大力发展贷款保证保险与信用保单融资业务。</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贯彻落实宁波市《促进融资担保行业加快发展的意见》，缓解小微企业融资难问题。</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（十八）优化融资环境</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切实加强对非法金融活动的防控和打击，引导资金回流实体经济。</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区公安分局、区市场监管局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3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推进产业与金融融合发展，加强政银企对接，完善困难企业金融帮扶机制，加快长期停产停业扭亏无望的困难企业退出市场，腾出资源、空间给优质企业。</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区金融办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全面推进社会信用体系建设，协调区公用信用信息平台与银行征信系统的信息交换共享机制，降低企业获取金融服务的门槛与成本。</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区发改局、区金融办</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0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（十九）加快出口退税进度</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推行出口退税无纸化管理，实施新的出口税收函调管理办法，加大宣传力度，进一步做好服务提醒工作，帮助出口企业加快退税申报进度，尽快完成应退税款及时足额到位。</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区国税局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海关驻鄞州办事处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4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（二十）加快工程造价结算款支付进程</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自2016年3月1日起，国有（政府）资金投资工程项目实施工程价款分段结算模式，及时支付无争议工程款项。创新审计手段，有效缩短审计时间，原则上应在一年内完成工程审计工作。探索在单价合同模式下以汇总审核后的计量款为结算款的方式，提高工程造价结算效率。</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区财政局、区审计局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区发改局、区住建局、区国资委及各相关建设单位的主管部门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1"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五、切实降低水电气等要素价格</w:t>
            </w: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（二十一）落实电价气价水价调整政策</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贯彻落实省级部门电价政策，从2016年1月1日起，一般工商业用电价格每千瓦时降低4.47分</w:t>
            </w:r>
            <w:r>
              <w:rPr>
                <w:rStyle w:val="4"/>
                <w:rFonts w:hint="eastAsia" w:ascii="宋体" w:hAnsi="宋体" w:eastAsia="宋体" w:cs="宋体"/>
                <w:sz w:val="24"/>
                <w:szCs w:val="24"/>
                <w:bdr w:val="none" w:color="auto" w:sz="0" w:space="0"/>
              </w:rPr>
              <w:t>。</w:t>
            </w:r>
            <w:r>
              <w:rPr>
                <w:rFonts w:hint="eastAsia" w:ascii="宋体" w:hAnsi="宋体" w:eastAsia="宋体" w:cs="宋体"/>
                <w:sz w:val="24"/>
                <w:szCs w:val="24"/>
                <w:bdr w:val="none" w:color="auto" w:sz="0" w:space="0"/>
              </w:rPr>
              <w:t>对农业服务业中的农产品初加工用电，执行农业生产用电价格。落实发电企业环保电价政策，对环保设施验收合格的热电机组执行每千瓦时上调2.7分（含税，下同），其中脱硫电价每千瓦时上调1.5分，脱硝、除尘电价每千瓦时上调1分、0.2分。</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区供电公司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8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对部分淘汰落后产业实施差别电价，地方差别电价增加的电费收入用于推动当地产业结构调整和节能减排等工作。积极推荐35KV及以上工业企业（除造纸、印染、水泥、平板玻璃、黑色金属冶炼和有色金属冶炼等高能耗高污染行业）参与省电力用户与发电企业直接交易试点。对燃煤（油）锅炉电能替代改造完成后用电实行优惠电价。2016—2017年，燃煤（油）锅炉电能替代改造完成后用电价格，按大工业用电相应电压等级的电度电价执行，免收基本电费。</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区供电公司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从2015年11月20日起，市区非居民管道天然气最高价格由4.27元/立方米下降到3.42元/立方米。对列入我区战略性新兴产业培育的企业继续执行每立方米0.2元的优惠差别水价政策，视情进一步扩大水价优惠幅度。</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区经信局、区城管局、区城投公司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1"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五、切实降低水电气等要素价格</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五、切实降低水电气等要素价格</w:t>
            </w: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（二十二）降低企业非生产使用要素资源成本</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制定和实施公用事业部门打破行业垄断引入市场竞争的方案，促使企业的供电、供水、供气、供热、电信、有线电视等管道（线）预埋或改造费用有较大幅度下降。</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区城管局、区文广新闻出版局、区国资委、区供电公司、区城投公司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对单独装表计量的企业内部职工集体宿舍用电，集体宿舍和食堂用水、用气，企业可根据消耗量自行选择居民或非居民价格。已实施阶梯气价的，可按当地居民第一档气价的1.1倍执行。</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区城管局、区供电公司、区城投公司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对企业消费电水气热和通信网络等垄断、准垄断要素资源，不得收取各种押金、保证金、担保金、预付款等费用。</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区市场监管局、区城管局、区文广新闻出版局、区国资委、区供电公司、区城投公司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26"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（二十三）降低企业用地成本</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在符合国家法律法规和军事航空限高等前提下，对于满足本区产业发展导向、土地亩均产出率不低于行业平均水平，且用于企业自身发展的工业项目，经相关部门审核同意，其容积率、建筑高度、绿地率指标按以下要求控制：在城乡规划建设用地外，存量工业用地新建、改建、扩建项目依据市、区相关规定执行。城乡规划建设用地范围内，工业项目与城乡规划建设用地性质相符，在满足消防、环保、交通等规范，能处理好周边关系的前提下，容积率、建筑高度原则上不再设定上限值，绿地率不再设定下限值。工业项目与城乡规划建设用地性质不相符，近期建设规划中暂不实施改造的工业项目，在属地镇、乡、街道征得区人民政府同意的前提下（或区政府授权给属地镇、乡、街道），可以进行改、扩建，容积率原则上不超过2.0，建筑限高小于等于50米。规划用地性质已经调整为城市道路、公共绿地、河道、轨道交通、管廊带等用地的，不得扩建，改建的不得超过原建设规模。生态带内的工业项目按照《宁波市人民政府关于进一步加强中心城生态带管理的实施意见》（甬政发〔2016〕13号）文件执行。支持标准厂房建设。将标准厂房建设用地纳入年度土地供应计划。鼓励利用“三改一拆”拆改土地、城镇低效用地建设标准厂房。鼓励标准厂房微利出租或按土地出让合同约定分割转让。结合上级国土资源管理部门的要求，逐步创新供地方式，组织开展工业用地弹性出让区域试点工作，鼓励采取长期租赁、先租后让、租让结合等出让方式，降低企业用地成本。完善工业用地政府回购、流转和收储机制，适当下调产业用地履约保证金比例。表土剥离费用由原来的3万/亩调整为2.7万/亩。</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区规划分局、区国土分局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76" w:hRule="atLeast"/>
          <w:tblCellSpacing w:w="0" w:type="dxa"/>
          <w:jc w:val="center"/>
        </w:trPr>
        <w:tc>
          <w:tcPr>
            <w:tcW w:w="739" w:type="dxa"/>
            <w:vMerge w:val="restart"/>
            <w:shd w:val="clear"/>
            <w:vAlign w:val="center"/>
          </w:tcPr>
          <w:p>
            <w:pPr>
              <w:pStyle w:val="2"/>
              <w:keepNext w:val="0"/>
              <w:keepLines w:val="0"/>
              <w:widowControl/>
              <w:suppressLineNumbers w:val="0"/>
              <w:rPr>
                <w:sz w:val="24"/>
                <w:szCs w:val="24"/>
              </w:rPr>
            </w:pPr>
            <w:r>
              <w:rPr>
                <w:rStyle w:val="4"/>
                <w:rFonts w:hint="eastAsia" w:ascii="宋体" w:hAnsi="宋体" w:eastAsia="宋体" w:cs="宋体"/>
                <w:sz w:val="24"/>
                <w:szCs w:val="24"/>
                <w:bdr w:val="none" w:color="auto" w:sz="0" w:space="0"/>
              </w:rPr>
              <w:t>六、积极引导企业提质增效</w:t>
            </w: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（二十四）推动企业减员增效</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全面推进“机器换人”技术改造，支持企业通过自动化（智能化）设备改造提升劳动生产率，实现减员增效。引导企业协同创新与协同制造，支持企业通过组建技术创新战略联盟，实现上下游企业间的协作配套，实现技术和资源共享。鼓励企业加大研发投入，提高创新能力和水平，提升技术成果转化效率。</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区经信局、区科技局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restart"/>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（二十五）推动企业降本增效</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引导企业建立现代企业制度，推广先进管理模式，促进降本增效。</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指导帮助企业规范用工，构建和谐劳动关系，降低用工风险。</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区人社局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区总工会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vMerge w:val="continue"/>
            <w:shd w:val="clear"/>
            <w:vAlign w:val="center"/>
          </w:tcPr>
          <w:p>
            <w:pPr>
              <w:rPr>
                <w:rFonts w:hint="eastAsia" w:ascii="宋体" w:hAnsi="宋体" w:eastAsia="宋体" w:cs="宋体"/>
                <w:sz w:val="24"/>
                <w:szCs w:val="24"/>
              </w:rPr>
            </w:pP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推行产品全生命周期管理，加强信息技术推广应用，提升企业管理信息化水平。</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1" w:hRule="atLeast"/>
          <w:tblCellSpacing w:w="0" w:type="dxa"/>
          <w:jc w:val="center"/>
        </w:trPr>
        <w:tc>
          <w:tcPr>
            <w:tcW w:w="739" w:type="dxa"/>
            <w:vMerge w:val="continue"/>
            <w:shd w:val="clear"/>
            <w:vAlign w:val="center"/>
          </w:tcPr>
          <w:p>
            <w:pPr>
              <w:rPr>
                <w:rFonts w:hint="eastAsia" w:ascii="宋体" w:hAnsi="宋体" w:eastAsia="宋体" w:cs="宋体"/>
                <w:sz w:val="24"/>
                <w:szCs w:val="24"/>
              </w:rPr>
            </w:pPr>
          </w:p>
        </w:tc>
        <w:tc>
          <w:tcPr>
            <w:tcW w:w="111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（二十六）推进企业降耗增效</w:t>
            </w:r>
          </w:p>
        </w:tc>
        <w:tc>
          <w:tcPr>
            <w:tcW w:w="4455"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支持企业推广应用高效节能节水和环保安全的技术、工艺、装备，切实提高资源能源利用效率和安全保障水平。推动建设绿色工厂，实现厂房集约化、废物资源化和能源低碳化。加快企业和园区循环化改造，提高资源生产率。全面开展单位资源占用产出绩效评价，推进企业降耗增效绿色发展。</w:t>
            </w:r>
          </w:p>
        </w:tc>
        <w:tc>
          <w:tcPr>
            <w:tcW w:w="90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区经信局</w:t>
            </w:r>
          </w:p>
        </w:tc>
        <w:tc>
          <w:tcPr>
            <w:tcW w:w="1086" w:type="dxa"/>
            <w:shd w:val="clear"/>
            <w:vAlign w:val="center"/>
          </w:tcPr>
          <w:p>
            <w:pPr>
              <w:pStyle w:val="2"/>
              <w:keepNext w:val="0"/>
              <w:keepLines w:val="0"/>
              <w:widowControl/>
              <w:suppressLineNumbers w:val="0"/>
              <w:rPr>
                <w:sz w:val="24"/>
                <w:szCs w:val="24"/>
              </w:rPr>
            </w:pPr>
            <w:r>
              <w:rPr>
                <w:rFonts w:hint="eastAsia" w:ascii="宋体" w:hAnsi="宋体" w:eastAsia="宋体" w:cs="宋体"/>
                <w:sz w:val="24"/>
                <w:szCs w:val="24"/>
                <w:bdr w:val="none" w:color="auto" w:sz="0" w:space="0"/>
              </w:rPr>
              <w:t>区发改局、区环保局、区安监局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1B3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2018-02-26T06:17:05Z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