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慈溪市科技进步企业奖励补助实施细则</w:t>
      </w:r>
    </w:p>
    <w:bookmarkEnd w:id="0"/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奖励补助对象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根据《慈溪市科技进步企业认定管理办法》认定的市科技进步企业。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二、奖励补助标准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当年认定的市科技进步企业，</w:t>
      </w:r>
      <w:r>
        <w:rPr>
          <w:rFonts w:hint="eastAsia" w:ascii="仿宋_GB2312" w:eastAsia="仿宋_GB2312"/>
          <w:color w:val="000000"/>
          <w:sz w:val="32"/>
          <w:szCs w:val="32"/>
        </w:rPr>
        <w:t>依据认定立项指标核定得分情况</w:t>
      </w:r>
      <w:r>
        <w:rPr>
          <w:rFonts w:hint="eastAsia" w:ascii="仿宋_GB2312" w:eastAsia="仿宋_GB2312"/>
          <w:sz w:val="32"/>
          <w:szCs w:val="32"/>
        </w:rPr>
        <w:t>，择优认定并资助5万元。认定次年依据进步评价指标核定得分情况，择优再资助10万元。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三、奖励补助程序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技局把拟认定的市科技进步企业资料递交至市财政局，市财政局对其资料进行完整性、合规性审核后确定经费安排。再由市科技局向有关部门进行书面意见征询并在其官网上进行7天的公示，经征询意见和公示无异议后，联合市财政局下达经费文件。　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四、有关要求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原有慈溪市“雏鹰”企业、有效期内高新技术企业不享受该项政策。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EF2"/>
    <w:multiLevelType w:val="multilevel"/>
    <w:tmpl w:val="23024EF2"/>
    <w:lvl w:ilvl="0" w:tentative="0">
      <w:start w:val="1"/>
      <w:numFmt w:val="none"/>
      <w:lvlText w:val="一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40094"/>
    <w:rsid w:val="590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2018-03-10T06:20:00Z</dcterms:created>
  <dc:creator>翔</dc:creator>
  <cp:lastModifiedBy>翔</cp:lastModifiedBy>
  <dcterms:modified xsi:type="dcterms:W3CDTF">2018-03-10T06:20:57Z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