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279"/>
        <w:gridCol w:w="1822"/>
        <w:gridCol w:w="1973"/>
        <w:gridCol w:w="19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附表2</w:t>
            </w:r>
          </w:p>
          <w:p>
            <w:pPr>
              <w:jc w:val="left"/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sz w:val="36"/>
                <w:szCs w:val="36"/>
              </w:rPr>
              <w:t>宁波国家高新区(新材料科技城)企业销售、利润、税金一览表</w:t>
            </w:r>
          </w:p>
          <w:bookmarkEnd w:id="0"/>
          <w:p>
            <w:pPr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申报单位：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2017年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2016年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2017年增幅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销售收入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二税合计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实缴增值税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实缴企业所得税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其他税费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利税总额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7BAF"/>
    <w:rsid w:val="56C97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2018-03-20T08:34:00Z</dcterms:created>
  <dc:creator>小简夫人</dc:creator>
  <cp:lastModifiedBy>小简夫人</cp:lastModifiedBy>
  <dcterms:modified xsi:type="dcterms:W3CDTF">2018-03-20T08:34:44Z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