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Mar>
          <w:left w:w="0" w:type="dxa"/>
          <w:right w:w="0" w:type="dxa"/>
        </w:tblCellMar>
        <w:tblLook w:val="04A0" w:firstRow="1" w:lastRow="0" w:firstColumn="1" w:lastColumn="0" w:noHBand="0" w:noVBand="1"/>
      </w:tblPr>
      <w:tblGrid>
        <w:gridCol w:w="7891"/>
      </w:tblGrid>
      <w:tr w:rsidR="00DF02C1" w:rsidRPr="00DF02C1" w:rsidTr="00DF02C1">
        <w:trPr>
          <w:jc w:val="center"/>
        </w:trPr>
        <w:tc>
          <w:tcPr>
            <w:tcW w:w="0" w:type="auto"/>
            <w:shd w:val="clear" w:color="auto" w:fill="auto"/>
            <w:vAlign w:val="center"/>
            <w:hideMark/>
          </w:tcPr>
          <w:p w:rsidR="00DF02C1" w:rsidRPr="00DF02C1" w:rsidRDefault="00DF02C1" w:rsidP="00DF02C1">
            <w:pPr>
              <w:widowControl/>
              <w:spacing w:line="360" w:lineRule="auto"/>
              <w:jc w:val="center"/>
              <w:rPr>
                <w:rFonts w:ascii="Arial" w:eastAsia="宋体" w:hAnsi="Arial" w:cs="Arial"/>
                <w:b/>
                <w:bCs/>
                <w:color w:val="000000"/>
                <w:kern w:val="0"/>
                <w:sz w:val="39"/>
                <w:szCs w:val="39"/>
              </w:rPr>
            </w:pPr>
            <w:r w:rsidRPr="00DF02C1">
              <w:rPr>
                <w:rFonts w:ascii="Arial" w:eastAsia="宋体" w:hAnsi="Arial" w:cs="Arial"/>
                <w:b/>
                <w:bCs/>
                <w:color w:val="000000"/>
                <w:kern w:val="0"/>
                <w:sz w:val="39"/>
                <w:szCs w:val="39"/>
              </w:rPr>
              <w:t>浙江省经济和信息化委员会关于公布</w:t>
            </w:r>
            <w:r w:rsidRPr="00DF02C1">
              <w:rPr>
                <w:rFonts w:ascii="Arial" w:eastAsia="宋体" w:hAnsi="Arial" w:cs="Arial"/>
                <w:b/>
                <w:bCs/>
                <w:color w:val="000000"/>
                <w:kern w:val="0"/>
                <w:sz w:val="39"/>
                <w:szCs w:val="39"/>
              </w:rPr>
              <w:t>2015</w:t>
            </w:r>
            <w:r w:rsidRPr="00DF02C1">
              <w:rPr>
                <w:rFonts w:ascii="Arial" w:eastAsia="宋体" w:hAnsi="Arial" w:cs="Arial"/>
                <w:b/>
                <w:bCs/>
                <w:color w:val="000000"/>
                <w:kern w:val="0"/>
                <w:sz w:val="39"/>
                <w:szCs w:val="39"/>
              </w:rPr>
              <w:t>年度浙江省成长型中小企业名单的通知</w:t>
            </w:r>
            <w:r w:rsidRPr="00DF02C1">
              <w:rPr>
                <w:rFonts w:ascii="Arial" w:eastAsia="宋体" w:hAnsi="Arial" w:cs="Arial"/>
                <w:b/>
                <w:bCs/>
                <w:color w:val="000000"/>
                <w:kern w:val="0"/>
                <w:sz w:val="39"/>
                <w:szCs w:val="39"/>
              </w:rPr>
              <w:t xml:space="preserve"> </w:t>
            </w:r>
          </w:p>
        </w:tc>
      </w:tr>
      <w:tr w:rsidR="00DF02C1" w:rsidRPr="00DF02C1" w:rsidTr="00DF02C1">
        <w:trPr>
          <w:trHeight w:val="240"/>
          <w:jc w:val="center"/>
        </w:trPr>
        <w:tc>
          <w:tcPr>
            <w:tcW w:w="0" w:type="auto"/>
            <w:shd w:val="clear" w:color="auto" w:fill="auto"/>
            <w:vAlign w:val="center"/>
            <w:hideMark/>
          </w:tcPr>
          <w:p w:rsidR="00DF02C1" w:rsidRPr="00DF02C1" w:rsidRDefault="00DF02C1" w:rsidP="00DF02C1">
            <w:pPr>
              <w:widowControl/>
              <w:jc w:val="left"/>
              <w:rPr>
                <w:rFonts w:ascii="Arial" w:eastAsia="宋体" w:hAnsi="Arial" w:cs="Arial"/>
                <w:color w:val="666666"/>
                <w:kern w:val="0"/>
                <w:sz w:val="18"/>
                <w:szCs w:val="18"/>
              </w:rPr>
            </w:pPr>
          </w:p>
        </w:tc>
      </w:tr>
      <w:tr w:rsidR="00DF02C1" w:rsidRPr="00DF02C1" w:rsidTr="00DF02C1">
        <w:trPr>
          <w:jc w:val="center"/>
        </w:trPr>
        <w:tc>
          <w:tcPr>
            <w:tcW w:w="0" w:type="auto"/>
            <w:shd w:val="clear" w:color="auto" w:fill="auto"/>
            <w:vAlign w:val="center"/>
            <w:hideMark/>
          </w:tcPr>
          <w:tbl>
            <w:tblPr>
              <w:tblW w:w="6855" w:type="dxa"/>
              <w:jc w:val="center"/>
              <w:tblCellMar>
                <w:top w:w="15" w:type="dxa"/>
                <w:left w:w="15" w:type="dxa"/>
                <w:bottom w:w="15" w:type="dxa"/>
                <w:right w:w="15" w:type="dxa"/>
              </w:tblCellMar>
              <w:tblLook w:val="04A0" w:firstRow="1" w:lastRow="0" w:firstColumn="1" w:lastColumn="0" w:noHBand="0" w:noVBand="1"/>
            </w:tblPr>
            <w:tblGrid>
              <w:gridCol w:w="2864"/>
              <w:gridCol w:w="1858"/>
              <w:gridCol w:w="2133"/>
            </w:tblGrid>
            <w:tr w:rsidR="00DF02C1" w:rsidRPr="00DF02C1">
              <w:trPr>
                <w:trHeight w:val="780"/>
                <w:jc w:val="center"/>
              </w:trPr>
              <w:tc>
                <w:tcPr>
                  <w:tcW w:w="2820" w:type="dxa"/>
                  <w:shd w:val="clear" w:color="auto" w:fill="auto"/>
                  <w:tcMar>
                    <w:top w:w="0" w:type="dxa"/>
                    <w:left w:w="0" w:type="dxa"/>
                    <w:bottom w:w="0" w:type="dxa"/>
                    <w:right w:w="0" w:type="dxa"/>
                  </w:tcMar>
                  <w:vAlign w:val="center"/>
                  <w:hideMark/>
                </w:tcPr>
                <w:p w:rsidR="00DF02C1" w:rsidRPr="00DF02C1" w:rsidRDefault="00DF02C1" w:rsidP="00DF02C1">
                  <w:pPr>
                    <w:widowControl/>
                    <w:jc w:val="right"/>
                    <w:rPr>
                      <w:rFonts w:ascii="Arial" w:eastAsia="宋体" w:hAnsi="Arial" w:cs="Arial"/>
                      <w:color w:val="333333"/>
                      <w:kern w:val="0"/>
                      <w:sz w:val="23"/>
                      <w:szCs w:val="23"/>
                    </w:rPr>
                  </w:pPr>
                  <w:r w:rsidRPr="00DF02C1">
                    <w:rPr>
                      <w:rFonts w:ascii="Arial" w:eastAsia="宋体" w:hAnsi="Arial" w:cs="Arial"/>
                      <w:color w:val="333333"/>
                      <w:kern w:val="0"/>
                      <w:sz w:val="23"/>
                      <w:szCs w:val="23"/>
                    </w:rPr>
                    <w:t>发布日期：</w:t>
                  </w:r>
                  <w:r w:rsidRPr="00DF02C1">
                    <w:rPr>
                      <w:rFonts w:ascii="Arial" w:eastAsia="宋体" w:hAnsi="Arial" w:cs="Arial"/>
                      <w:color w:val="333333"/>
                      <w:kern w:val="0"/>
                      <w:sz w:val="23"/>
                      <w:szCs w:val="23"/>
                    </w:rPr>
                    <w:t xml:space="preserve">2015-09-18 </w:t>
                  </w:r>
                </w:p>
              </w:tc>
              <w:tc>
                <w:tcPr>
                  <w:tcW w:w="1830" w:type="dxa"/>
                  <w:shd w:val="clear" w:color="auto" w:fill="auto"/>
                  <w:tcMar>
                    <w:top w:w="0" w:type="dxa"/>
                    <w:left w:w="0" w:type="dxa"/>
                    <w:bottom w:w="0" w:type="dxa"/>
                    <w:right w:w="0" w:type="dxa"/>
                  </w:tcMar>
                  <w:vAlign w:val="center"/>
                  <w:hideMark/>
                </w:tcPr>
                <w:p w:rsidR="00DF02C1" w:rsidRPr="00DF02C1" w:rsidRDefault="00DF02C1" w:rsidP="00DF02C1">
                  <w:pPr>
                    <w:widowControl/>
                    <w:jc w:val="right"/>
                    <w:rPr>
                      <w:rFonts w:ascii="Arial" w:eastAsia="宋体" w:hAnsi="Arial" w:cs="Arial"/>
                      <w:color w:val="333333"/>
                      <w:kern w:val="0"/>
                      <w:sz w:val="23"/>
                      <w:szCs w:val="23"/>
                    </w:rPr>
                  </w:pPr>
                  <w:r w:rsidRPr="00DF02C1">
                    <w:rPr>
                      <w:rFonts w:ascii="Arial" w:eastAsia="宋体" w:hAnsi="Arial" w:cs="Arial"/>
                      <w:color w:val="333333"/>
                      <w:kern w:val="0"/>
                      <w:sz w:val="23"/>
                      <w:szCs w:val="23"/>
                    </w:rPr>
                    <w:t>浏览次数</w:t>
                  </w:r>
                  <w:r w:rsidRPr="00DF02C1">
                    <w:rPr>
                      <w:rFonts w:ascii="Arial" w:eastAsia="宋体" w:hAnsi="Arial" w:cs="Arial"/>
                      <w:color w:val="333333"/>
                      <w:kern w:val="0"/>
                      <w:sz w:val="23"/>
                      <w:szCs w:val="23"/>
                    </w:rPr>
                    <w:t xml:space="preserve">: </w:t>
                  </w:r>
                  <w:r w:rsidRPr="00DF02C1">
                    <w:rPr>
                      <w:rFonts w:ascii="Arial" w:eastAsia="宋体" w:hAnsi="Arial" w:cs="Arial"/>
                      <w:color w:val="333333"/>
                      <w:kern w:val="0"/>
                      <w:sz w:val="23"/>
                      <w:szCs w:val="23"/>
                    </w:rPr>
                    <w:pict/>
                  </w:r>
                  <w:r w:rsidRPr="00DF02C1">
                    <w:rPr>
                      <w:rFonts w:ascii="Arial" w:eastAsia="宋体" w:hAnsi="Arial" w:cs="Arial"/>
                      <w:color w:val="333333"/>
                      <w:kern w:val="0"/>
                      <w:sz w:val="23"/>
                      <w:szCs w:val="23"/>
                    </w:rPr>
                    <w:t>141</w:t>
                  </w:r>
                </w:p>
              </w:tc>
              <w:tc>
                <w:tcPr>
                  <w:tcW w:w="2100" w:type="dxa"/>
                  <w:shd w:val="clear" w:color="auto" w:fill="auto"/>
                  <w:tcMar>
                    <w:top w:w="0" w:type="dxa"/>
                    <w:left w:w="0" w:type="dxa"/>
                    <w:bottom w:w="0" w:type="dxa"/>
                    <w:right w:w="0" w:type="dxa"/>
                  </w:tcMar>
                  <w:vAlign w:val="center"/>
                  <w:hideMark/>
                </w:tcPr>
                <w:p w:rsidR="00DF02C1" w:rsidRPr="00DF02C1" w:rsidRDefault="00DF02C1" w:rsidP="00DF02C1">
                  <w:pPr>
                    <w:widowControl/>
                    <w:jc w:val="right"/>
                    <w:rPr>
                      <w:rFonts w:ascii="Arial" w:eastAsia="宋体" w:hAnsi="Arial" w:cs="Arial"/>
                      <w:color w:val="333333"/>
                      <w:kern w:val="0"/>
                      <w:sz w:val="23"/>
                      <w:szCs w:val="23"/>
                    </w:rPr>
                  </w:pPr>
                  <w:r w:rsidRPr="00DF02C1">
                    <w:rPr>
                      <w:rFonts w:ascii="Arial" w:eastAsia="宋体" w:hAnsi="Arial" w:cs="Arial"/>
                      <w:color w:val="333333"/>
                      <w:kern w:val="0"/>
                      <w:sz w:val="23"/>
                      <w:szCs w:val="23"/>
                    </w:rPr>
                    <w:t>字体：</w:t>
                  </w:r>
                  <w:r w:rsidRPr="00DF02C1">
                    <w:rPr>
                      <w:rFonts w:ascii="Arial" w:eastAsia="宋体" w:hAnsi="Arial" w:cs="Arial"/>
                      <w:color w:val="333333"/>
                      <w:kern w:val="0"/>
                      <w:sz w:val="23"/>
                      <w:szCs w:val="23"/>
                    </w:rPr>
                    <w:t xml:space="preserve">[ </w:t>
                  </w:r>
                  <w:hyperlink r:id="rId5" w:history="1">
                    <w:r w:rsidRPr="00DF02C1">
                      <w:rPr>
                        <w:rFonts w:ascii="Arial" w:eastAsia="宋体" w:hAnsi="Arial" w:cs="Arial"/>
                        <w:color w:val="333333"/>
                        <w:kern w:val="0"/>
                        <w:sz w:val="23"/>
                        <w:szCs w:val="23"/>
                      </w:rPr>
                      <w:t>大</w:t>
                    </w:r>
                  </w:hyperlink>
                  <w:r w:rsidRPr="00DF02C1">
                    <w:rPr>
                      <w:rFonts w:ascii="Arial" w:eastAsia="宋体" w:hAnsi="Arial" w:cs="Arial"/>
                      <w:color w:val="333333"/>
                      <w:kern w:val="0"/>
                      <w:sz w:val="23"/>
                      <w:szCs w:val="23"/>
                    </w:rPr>
                    <w:t xml:space="preserve"> </w:t>
                  </w:r>
                  <w:hyperlink r:id="rId6" w:history="1">
                    <w:r w:rsidRPr="00DF02C1">
                      <w:rPr>
                        <w:rFonts w:ascii="Arial" w:eastAsia="宋体" w:hAnsi="Arial" w:cs="Arial"/>
                        <w:color w:val="333333"/>
                        <w:kern w:val="0"/>
                        <w:sz w:val="23"/>
                        <w:szCs w:val="23"/>
                      </w:rPr>
                      <w:t>中</w:t>
                    </w:r>
                  </w:hyperlink>
                  <w:r w:rsidRPr="00DF02C1">
                    <w:rPr>
                      <w:rFonts w:ascii="Arial" w:eastAsia="宋体" w:hAnsi="Arial" w:cs="Arial"/>
                      <w:color w:val="333333"/>
                      <w:kern w:val="0"/>
                      <w:sz w:val="23"/>
                      <w:szCs w:val="23"/>
                    </w:rPr>
                    <w:t xml:space="preserve"> </w:t>
                  </w:r>
                  <w:hyperlink r:id="rId7" w:history="1">
                    <w:r w:rsidRPr="00DF02C1">
                      <w:rPr>
                        <w:rFonts w:ascii="Arial" w:eastAsia="宋体" w:hAnsi="Arial" w:cs="Arial"/>
                        <w:color w:val="333333"/>
                        <w:kern w:val="0"/>
                        <w:sz w:val="23"/>
                        <w:szCs w:val="23"/>
                      </w:rPr>
                      <w:t>小</w:t>
                    </w:r>
                  </w:hyperlink>
                  <w:r w:rsidRPr="00DF02C1">
                    <w:rPr>
                      <w:rFonts w:ascii="Arial" w:eastAsia="宋体" w:hAnsi="Arial" w:cs="Arial"/>
                      <w:color w:val="333333"/>
                      <w:kern w:val="0"/>
                      <w:sz w:val="23"/>
                      <w:szCs w:val="23"/>
                    </w:rPr>
                    <w:t xml:space="preserve"> ]</w:t>
                  </w:r>
                </w:p>
              </w:tc>
            </w:tr>
          </w:tbl>
          <w:p w:rsidR="00DF02C1" w:rsidRPr="00DF02C1" w:rsidRDefault="00DF02C1" w:rsidP="00DF02C1">
            <w:pPr>
              <w:widowControl/>
              <w:jc w:val="left"/>
              <w:rPr>
                <w:rFonts w:ascii="Arial" w:eastAsia="宋体" w:hAnsi="Arial" w:cs="Arial"/>
                <w:color w:val="666666"/>
                <w:kern w:val="0"/>
                <w:sz w:val="18"/>
                <w:szCs w:val="18"/>
              </w:rPr>
            </w:pPr>
          </w:p>
        </w:tc>
      </w:tr>
      <w:tr w:rsidR="00DF02C1" w:rsidRPr="00DF02C1" w:rsidTr="00DF02C1">
        <w:trPr>
          <w:trHeight w:val="705"/>
          <w:jc w:val="center"/>
        </w:trPr>
        <w:tc>
          <w:tcPr>
            <w:tcW w:w="0" w:type="auto"/>
            <w:shd w:val="clear" w:color="auto" w:fill="auto"/>
            <w:vAlign w:val="center"/>
            <w:hideMark/>
          </w:tcPr>
          <w:p w:rsidR="00DF02C1" w:rsidRPr="00DF02C1" w:rsidRDefault="00DF02C1" w:rsidP="00DF02C1">
            <w:pPr>
              <w:widowControl/>
              <w:spacing w:line="480" w:lineRule="atLeast"/>
              <w:jc w:val="left"/>
              <w:rPr>
                <w:rFonts w:ascii="微软雅黑" w:eastAsia="微软雅黑" w:hAnsi="微软雅黑" w:cs="Arial"/>
                <w:color w:val="333333"/>
                <w:kern w:val="0"/>
                <w:sz w:val="24"/>
                <w:szCs w:val="24"/>
              </w:rPr>
            </w:pPr>
            <w:r w:rsidRPr="00DF02C1">
              <w:rPr>
                <w:rFonts w:ascii="微软雅黑" w:eastAsia="微软雅黑" w:hAnsi="微软雅黑" w:cs="Arial" w:hint="eastAsia"/>
                <w:color w:val="333333"/>
                <w:kern w:val="0"/>
                <w:sz w:val="24"/>
                <w:szCs w:val="24"/>
              </w:rPr>
              <w:t>各市、县（市、区）经信委（局）：</w:t>
            </w:r>
            <w:r w:rsidRPr="00DF02C1">
              <w:rPr>
                <w:rFonts w:ascii="微软雅黑" w:eastAsia="微软雅黑" w:hAnsi="微软雅黑" w:cs="Arial" w:hint="eastAsia"/>
                <w:color w:val="333333"/>
                <w:kern w:val="0"/>
                <w:sz w:val="24"/>
                <w:szCs w:val="24"/>
              </w:rPr>
              <w:br/>
              <w:t xml:space="preserve">　　根据《浙江省经济和信息化委员会关于做好2015年度浙江省成长型中小企业推荐审核工作的通知》（浙经信企规〔2015〕313号）精神，通过运用省统计局规模以上中小企业数据库先行筛选，并经征询企业意见和各地经信部门审核推荐与确认，以及组织专家综合评审等程序，我委研究确定浙江威星智能仪表股份有限公司等976家企业为2015年度浙江省成长型中小企业，现将企业名单予以公布，并提出如下意见：</w:t>
            </w:r>
            <w:r w:rsidRPr="00DF02C1">
              <w:rPr>
                <w:rFonts w:ascii="微软雅黑" w:eastAsia="微软雅黑" w:hAnsi="微软雅黑" w:cs="Arial" w:hint="eastAsia"/>
                <w:color w:val="333333"/>
                <w:kern w:val="0"/>
                <w:sz w:val="24"/>
                <w:szCs w:val="24"/>
              </w:rPr>
              <w:br/>
              <w:t xml:space="preserve">　　一、加强政策扶持。各地经信部门要深入贯彻《浙江省人民政府办公厅关于促进小微企业转型升级为规模以上企业的意见》（浙政办发〔2013〕118号）精神，坚持分类指导、典型示范、精准扶持，突出对成长型中小企业的跟踪服务、政策支持和培育监测，指导企业积极适应经济新常态，主动谋求转型升级，为我省经济稳增长、调结构、促转型、惠民生作出积极贡献。各地中小企业发展专项资金可向成长型企业适当倾斜扶持，体现政策聚焦、资源聚焦。</w:t>
            </w:r>
            <w:r w:rsidRPr="00DF02C1">
              <w:rPr>
                <w:rFonts w:ascii="微软雅黑" w:eastAsia="微软雅黑" w:hAnsi="微软雅黑" w:cs="Arial" w:hint="eastAsia"/>
                <w:color w:val="333333"/>
                <w:kern w:val="0"/>
                <w:sz w:val="24"/>
                <w:szCs w:val="24"/>
              </w:rPr>
              <w:br/>
              <w:t xml:space="preserve">　　二、开展精准服务。各地经信部门要加强对成长型中小企业的培育监测，建立健全对接企业服务制度机制，深入企业走访调研和指导帮扶，及时了解企业经营情况，尽力协调企业遇到的有关困难和问题。指导相关企业通过开展“机器换人”、“电商换市”、智能制造、产品创新、管理提升等途径，</w:t>
            </w:r>
            <w:r w:rsidRPr="00DF02C1">
              <w:rPr>
                <w:rFonts w:ascii="微软雅黑" w:eastAsia="微软雅黑" w:hAnsi="微软雅黑" w:cs="Arial" w:hint="eastAsia"/>
                <w:color w:val="333333"/>
                <w:kern w:val="0"/>
                <w:sz w:val="24"/>
                <w:szCs w:val="24"/>
              </w:rPr>
              <w:lastRenderedPageBreak/>
              <w:t>促进企业转型升级发展。指导企业加快建立现代企业制度，推动符合条件的企业实施股改、挂牌和上市，拓宽企业直接融资渠道，积极借力资本市场助推企业发展。各地经信部门要及早准备，组织成长型企业参加2015年浙江省成长型中小企业投融资大会（10月下旬在杭州召开），帮助企业加强与金融要素对接，更好实现企业自身发展。</w:t>
            </w:r>
            <w:r w:rsidRPr="00DF02C1">
              <w:rPr>
                <w:rFonts w:ascii="微软雅黑" w:eastAsia="微软雅黑" w:hAnsi="微软雅黑" w:cs="Arial" w:hint="eastAsia"/>
                <w:color w:val="333333"/>
                <w:kern w:val="0"/>
                <w:sz w:val="24"/>
                <w:szCs w:val="24"/>
              </w:rPr>
              <w:br/>
              <w:t xml:space="preserve">　　三、发挥典型示范。省经信委今年继续与《浙江日报》合作开设“中小企业之窗”栏目，各地经信部门在扩大宣传各级扶持中小企业发展政策措施的同时，要选择一批成长型中小企业，编写典型案例进行推介宣传，突出宣传典型企业创业创新、转型升级经验，树立企业发展标杆和榜样，激发我省广大企业大众创业、万众创新的热情，为中小企业发展营造良好舆论环境。各地促进中小企业发展的好做法、好经验可及时报送我委。</w:t>
            </w:r>
            <w:r w:rsidRPr="00DF02C1">
              <w:rPr>
                <w:rFonts w:ascii="微软雅黑" w:eastAsia="微软雅黑" w:hAnsi="微软雅黑" w:cs="Arial" w:hint="eastAsia"/>
                <w:color w:val="333333"/>
                <w:kern w:val="0"/>
                <w:sz w:val="24"/>
                <w:szCs w:val="24"/>
              </w:rPr>
              <w:br/>
              <w:t xml:space="preserve">　　附件：2015年度浙江省成长型中小企业名单</w:t>
            </w:r>
          </w:p>
          <w:p w:rsidR="00DF02C1" w:rsidRPr="00DF02C1" w:rsidRDefault="00DF02C1" w:rsidP="00DF02C1">
            <w:pPr>
              <w:widowControl/>
              <w:spacing w:line="480" w:lineRule="atLeast"/>
              <w:jc w:val="left"/>
              <w:rPr>
                <w:rFonts w:ascii="微软雅黑" w:eastAsia="微软雅黑" w:hAnsi="微软雅黑" w:cs="Arial" w:hint="eastAsia"/>
                <w:color w:val="333333"/>
                <w:kern w:val="0"/>
                <w:sz w:val="24"/>
                <w:szCs w:val="24"/>
              </w:rPr>
            </w:pPr>
            <w:r w:rsidRPr="00DF02C1">
              <w:rPr>
                <w:rFonts w:ascii="微软雅黑" w:eastAsia="微软雅黑" w:hAnsi="微软雅黑" w:cs="Arial" w:hint="eastAsia"/>
                <w:color w:val="333333"/>
                <w:kern w:val="0"/>
                <w:sz w:val="24"/>
                <w:szCs w:val="24"/>
              </w:rPr>
              <w:t> </w:t>
            </w:r>
          </w:p>
          <w:p w:rsidR="00DF02C1" w:rsidRPr="00DF02C1" w:rsidRDefault="00DF02C1" w:rsidP="00DF02C1">
            <w:pPr>
              <w:widowControl/>
              <w:spacing w:line="480" w:lineRule="atLeast"/>
              <w:jc w:val="right"/>
              <w:rPr>
                <w:rFonts w:ascii="微软雅黑" w:eastAsia="微软雅黑" w:hAnsi="微软雅黑" w:cs="Arial"/>
                <w:color w:val="333333"/>
                <w:kern w:val="0"/>
                <w:sz w:val="24"/>
                <w:szCs w:val="24"/>
              </w:rPr>
            </w:pPr>
            <w:r w:rsidRPr="00DF02C1">
              <w:rPr>
                <w:rFonts w:ascii="微软雅黑" w:eastAsia="微软雅黑" w:hAnsi="微软雅黑" w:cs="Arial" w:hint="eastAsia"/>
                <w:color w:val="333333"/>
                <w:kern w:val="0"/>
                <w:sz w:val="24"/>
                <w:szCs w:val="24"/>
              </w:rPr>
              <w:t>浙江省经济和信息化委员会</w:t>
            </w:r>
            <w:r w:rsidRPr="00DF02C1">
              <w:rPr>
                <w:rFonts w:ascii="微软雅黑" w:eastAsia="微软雅黑" w:hAnsi="微软雅黑" w:cs="Arial" w:hint="eastAsia"/>
                <w:color w:val="333333"/>
                <w:kern w:val="0"/>
                <w:sz w:val="24"/>
                <w:szCs w:val="24"/>
              </w:rPr>
              <w:br/>
              <w:t xml:space="preserve">　　2015年9月14日</w:t>
            </w:r>
          </w:p>
        </w:tc>
      </w:tr>
    </w:tbl>
    <w:p w:rsidR="00157ACB" w:rsidRDefault="00157ACB">
      <w:bookmarkStart w:id="0" w:name="_GoBack"/>
      <w:bookmarkEnd w:id="0"/>
    </w:p>
    <w:sectPr w:rsidR="00157AC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2C1"/>
    <w:rsid w:val="00157ACB"/>
    <w:rsid w:val="00DF02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F02C1"/>
    <w:rPr>
      <w:strike w:val="0"/>
      <w:dstrike w:val="0"/>
      <w:color w:val="0000FF"/>
      <w:u w:val="none"/>
      <w:effect w:val="none"/>
      <w:shd w:val="clear" w:color="auto" w:fill="auto"/>
    </w:rPr>
  </w:style>
  <w:style w:type="paragraph" w:styleId="a4">
    <w:name w:val="Normal (Web)"/>
    <w:basedOn w:val="a"/>
    <w:uiPriority w:val="99"/>
    <w:unhideWhenUsed/>
    <w:rsid w:val="00DF02C1"/>
    <w:pPr>
      <w:widowControl/>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F02C1"/>
    <w:rPr>
      <w:strike w:val="0"/>
      <w:dstrike w:val="0"/>
      <w:color w:val="0000FF"/>
      <w:u w:val="none"/>
      <w:effect w:val="none"/>
      <w:shd w:val="clear" w:color="auto" w:fill="auto"/>
    </w:rPr>
  </w:style>
  <w:style w:type="paragraph" w:styleId="a4">
    <w:name w:val="Normal (Web)"/>
    <w:basedOn w:val="a"/>
    <w:uiPriority w:val="99"/>
    <w:unhideWhenUsed/>
    <w:rsid w:val="00DF02C1"/>
    <w:pPr>
      <w:widowControl/>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681484">
      <w:bodyDiv w:val="1"/>
      <w:marLeft w:val="0"/>
      <w:marRight w:val="0"/>
      <w:marTop w:val="0"/>
      <w:marBottom w:val="0"/>
      <w:divBdr>
        <w:top w:val="none" w:sz="0" w:space="0" w:color="auto"/>
        <w:left w:val="none" w:sz="0" w:space="0" w:color="auto"/>
        <w:bottom w:val="none" w:sz="0" w:space="0" w:color="auto"/>
        <w:right w:val="none" w:sz="0" w:space="0" w:color="auto"/>
      </w:divBdr>
      <w:divsChild>
        <w:div w:id="55132843">
          <w:marLeft w:val="0"/>
          <w:marRight w:val="0"/>
          <w:marTop w:val="0"/>
          <w:marBottom w:val="0"/>
          <w:divBdr>
            <w:top w:val="none" w:sz="0" w:space="0" w:color="auto"/>
            <w:left w:val="none" w:sz="0" w:space="0" w:color="auto"/>
            <w:bottom w:val="none" w:sz="0" w:space="0" w:color="auto"/>
            <w:right w:val="none" w:sz="0" w:space="0" w:color="auto"/>
          </w:divBdr>
          <w:divsChild>
            <w:div w:id="489520490">
              <w:marLeft w:val="0"/>
              <w:marRight w:val="0"/>
              <w:marTop w:val="0"/>
              <w:marBottom w:val="0"/>
              <w:divBdr>
                <w:top w:val="none" w:sz="0" w:space="0" w:color="auto"/>
                <w:left w:val="none" w:sz="0" w:space="0" w:color="auto"/>
                <w:bottom w:val="none" w:sz="0" w:space="0" w:color="auto"/>
                <w:right w:val="none" w:sz="0" w:space="0" w:color="auto"/>
              </w:divBdr>
              <w:divsChild>
                <w:div w:id="534007017">
                  <w:marLeft w:val="0"/>
                  <w:marRight w:val="0"/>
                  <w:marTop w:val="0"/>
                  <w:marBottom w:val="0"/>
                  <w:divBdr>
                    <w:top w:val="none" w:sz="0" w:space="0" w:color="auto"/>
                    <w:left w:val="none" w:sz="0" w:space="0" w:color="auto"/>
                    <w:bottom w:val="none" w:sz="0" w:space="0" w:color="auto"/>
                    <w:right w:val="none" w:sz="0" w:space="0" w:color="auto"/>
                  </w:divBdr>
                  <w:divsChild>
                    <w:div w:id="47330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doZoom(1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doZoom(14)" TargetMode="External"/><Relationship Id="rId5" Type="http://schemas.openxmlformats.org/officeDocument/2006/relationships/hyperlink" Target="javascript:doZoom(1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977</Characters>
  <Application>Microsoft Office Word</Application>
  <DocSecurity>0</DocSecurity>
  <Lines>8</Lines>
  <Paragraphs>2</Paragraphs>
  <ScaleCrop>false</ScaleCrop>
  <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c:creator>
  <cp:lastModifiedBy>yu</cp:lastModifiedBy>
  <cp:revision>2</cp:revision>
  <dcterms:created xsi:type="dcterms:W3CDTF">2018-04-13T02:27:00Z</dcterms:created>
  <dcterms:modified xsi:type="dcterms:W3CDTF">2018-04-13T02:27:00Z</dcterms:modified>
</cp:coreProperties>
</file>