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eastAsia="仿宋_GB2312"/>
          <w:sz w:val="32"/>
          <w:szCs w:val="32"/>
        </w:rPr>
        <w:t>：</w:t>
      </w:r>
    </w:p>
    <w:p>
      <w:pPr>
        <w:spacing w:line="240" w:lineRule="atLeast"/>
        <w:jc w:val="center"/>
        <w:rPr>
          <w:rFonts w:ascii="Times New Roman" w:hAnsi="Times New Roman" w:eastAsia="方正小标宋简体"/>
          <w:b/>
          <w:sz w:val="18"/>
          <w:szCs w:val="18"/>
        </w:rPr>
      </w:pPr>
    </w:p>
    <w:p>
      <w:pPr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hint="eastAsia" w:ascii="Times New Roman" w:eastAsia="方正小标宋简体"/>
          <w:b/>
          <w:sz w:val="32"/>
          <w:szCs w:val="32"/>
        </w:rPr>
        <w:t>镇海区企业工程（技术）中心建设可行性报告编写提纲</w:t>
      </w:r>
    </w:p>
    <w:p>
      <w:pPr>
        <w:spacing w:line="160" w:lineRule="exact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二、企业工程（技术）中心概况，包括研究开发团队和技术带头人、专用仪器与设备、技术创新优势等；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三、企业工程（技术）中心组织保障，包括各项制度建立、组织建设、研究开发经费保障、激励机制、创新环境、产学研合作等；</w:t>
      </w:r>
    </w:p>
    <w:p>
      <w:pPr>
        <w:snapToGrid w:val="0"/>
        <w:spacing w:line="44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四、企业工程（技术）中心发展规划，包括建设进度安排与资金设备投入、人才引进与培育、科研立项、科技论文发表、标准制订、专利申请与授权等。</w:t>
      </w: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spacing w:line="440" w:lineRule="exact"/>
        <w:ind w:firstLine="561"/>
        <w:rPr>
          <w:rFonts w:ascii="Times New Roman" w:hAnsi="Times New Roman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8598D"/>
    <w:rsid w:val="6D535020"/>
    <w:rsid w:val="7F1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2018-04-17T06:05:00Z</dcterms:created>
  <dc:creator>恶魔中校</dc:creator>
  <cp:lastModifiedBy>恶魔中校</cp:lastModifiedBy>
  <dcterms:modified xsi:type="dcterms:W3CDTF">2018-04-17T06:05:31Z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