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 xml:space="preserve"> 1 </w:t>
      </w:r>
    </w:p>
    <w:p>
      <w:pPr>
        <w:spacing w:line="480" w:lineRule="exact"/>
        <w:rPr>
          <w:rFonts w:ascii="宋体" w:hAnsi="宋体" w:cs="宋体"/>
          <w:sz w:val="24"/>
          <w:szCs w:val="24"/>
        </w:rPr>
      </w:pPr>
    </w:p>
    <w:p>
      <w:pPr>
        <w:spacing w:line="480" w:lineRule="exact"/>
        <w:jc w:val="center"/>
        <w:rPr>
          <w:rFonts w:ascii="宋体" w:hAnsi="宋体" w:cs="宋体"/>
          <w:b/>
          <w:sz w:val="24"/>
          <w:szCs w:val="24"/>
        </w:rPr>
      </w:pPr>
      <w:bookmarkStart w:id="0" w:name="_GoBack"/>
      <w:r>
        <w:rPr>
          <w:rFonts w:hint="eastAsia" w:ascii="宋体" w:hAnsi="宋体" w:cs="宋体"/>
          <w:b/>
          <w:sz w:val="24"/>
          <w:szCs w:val="24"/>
        </w:rPr>
        <w:t>退还已交吊装移位仓储费结算标准</w:t>
      </w:r>
    </w:p>
    <w:bookmarkEnd w:id="0"/>
    <w:p>
      <w:pPr>
        <w:spacing w:line="480" w:lineRule="exact"/>
        <w:jc w:val="center"/>
        <w:rPr>
          <w:rFonts w:ascii="宋体" w:hAnsi="宋体" w:cs="宋体"/>
          <w:b/>
          <w:sz w:val="24"/>
          <w:szCs w:val="24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477"/>
        <w:gridCol w:w="959"/>
        <w:gridCol w:w="1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Align w:val="top"/>
          </w:tcPr>
          <w:p>
            <w:r>
              <w:rPr>
                <w:rFonts w:hint="eastAsia"/>
              </w:rPr>
              <w:t>查验地点</w:t>
            </w:r>
          </w:p>
        </w:tc>
        <w:tc>
          <w:tcPr>
            <w:tcW w:w="1217" w:type="dxa"/>
            <w:vAlign w:val="top"/>
          </w:tcPr>
          <w:p>
            <w:r>
              <w:rPr>
                <w:rFonts w:hint="eastAsia"/>
              </w:rPr>
              <w:t>查验对象</w:t>
            </w:r>
          </w:p>
        </w:tc>
        <w:tc>
          <w:tcPr>
            <w:tcW w:w="1217" w:type="dxa"/>
            <w:vAlign w:val="top"/>
          </w:tcPr>
          <w:p>
            <w:r>
              <w:rPr>
                <w:rFonts w:hint="eastAsia"/>
              </w:rPr>
              <w:t>查验方式</w:t>
            </w:r>
          </w:p>
        </w:tc>
        <w:tc>
          <w:tcPr>
            <w:tcW w:w="2694" w:type="dxa"/>
            <w:gridSpan w:val="2"/>
            <w:vAlign w:val="top"/>
          </w:tcPr>
          <w:p>
            <w:r>
              <w:rPr>
                <w:rFonts w:hint="eastAsia"/>
              </w:rPr>
              <w:t>项目名称</w:t>
            </w:r>
          </w:p>
        </w:tc>
        <w:tc>
          <w:tcPr>
            <w:tcW w:w="959" w:type="dxa"/>
            <w:vAlign w:val="top"/>
          </w:tcPr>
          <w:p>
            <w:r>
              <w:t xml:space="preserve">20 </w:t>
            </w:r>
            <w:r>
              <w:rPr>
                <w:rFonts w:hint="eastAsia"/>
              </w:rPr>
              <w:t>英尺箱（元）</w:t>
            </w:r>
          </w:p>
        </w:tc>
        <w:tc>
          <w:tcPr>
            <w:tcW w:w="1218" w:type="dxa"/>
            <w:vAlign w:val="top"/>
          </w:tcPr>
          <w:p>
            <w:r>
              <w:t xml:space="preserve">40 </w:t>
            </w:r>
            <w:r>
              <w:rPr>
                <w:rFonts w:hint="eastAsia"/>
              </w:rPr>
              <w:t>英尺箱（元）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Merge w:val="restart"/>
            <w:vAlign w:val="top"/>
          </w:tcPr>
          <w:p>
            <w:r>
              <w:rPr>
                <w:rFonts w:hint="eastAsia"/>
              </w:rPr>
              <w:t>港内</w:t>
            </w:r>
          </w:p>
        </w:tc>
        <w:tc>
          <w:tcPr>
            <w:tcW w:w="1217" w:type="dxa"/>
            <w:vMerge w:val="restart"/>
            <w:vAlign w:val="top"/>
          </w:tcPr>
          <w:p>
            <w:r>
              <w:rPr>
                <w:rFonts w:hint="eastAsia"/>
              </w:rPr>
              <w:t>普通集装箱</w:t>
            </w:r>
          </w:p>
        </w:tc>
        <w:tc>
          <w:tcPr>
            <w:tcW w:w="1217" w:type="dxa"/>
            <w:vMerge w:val="restart"/>
            <w:vAlign w:val="top"/>
          </w:tcPr>
          <w:p>
            <w:r>
              <w:rPr>
                <w:rFonts w:hint="eastAsia"/>
              </w:rPr>
              <w:t>人工查验</w:t>
            </w:r>
          </w:p>
        </w:tc>
        <w:tc>
          <w:tcPr>
            <w:tcW w:w="1217" w:type="dxa"/>
            <w:vMerge w:val="restart"/>
            <w:vAlign w:val="top"/>
          </w:tcPr>
          <w:p>
            <w:r>
              <w:rPr>
                <w:rFonts w:hint="eastAsia"/>
              </w:rPr>
              <w:t>移位费＋吊装费（元／箱）</w:t>
            </w:r>
          </w:p>
        </w:tc>
        <w:tc>
          <w:tcPr>
            <w:tcW w:w="1477" w:type="dxa"/>
            <w:vAlign w:val="top"/>
          </w:tcPr>
          <w:p>
            <w:r>
              <w:rPr>
                <w:rFonts w:hint="eastAsia"/>
              </w:rPr>
              <w:t>开箱门</w:t>
            </w:r>
          </w:p>
        </w:tc>
        <w:tc>
          <w:tcPr>
            <w:tcW w:w="959" w:type="dxa"/>
            <w:vAlign w:val="top"/>
          </w:tcPr>
          <w:p>
            <w:r>
              <w:t>300</w:t>
            </w:r>
          </w:p>
        </w:tc>
        <w:tc>
          <w:tcPr>
            <w:tcW w:w="1218" w:type="dxa"/>
            <w:vAlign w:val="top"/>
          </w:tcPr>
          <w:p>
            <w:r>
              <w:t>450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Merge w:val="continue"/>
            <w:vAlign w:val="top"/>
          </w:tcPr>
          <w:p>
            <w:pPr>
              <w:spacing w:line="413" w:lineRule="auto"/>
              <w:outlineLvl w:val="2"/>
            </w:pPr>
          </w:p>
        </w:tc>
        <w:tc>
          <w:tcPr>
            <w:tcW w:w="1217" w:type="dxa"/>
            <w:vMerge w:val="continue"/>
            <w:vAlign w:val="top"/>
          </w:tcPr>
          <w:p>
            <w:pPr>
              <w:spacing w:line="413" w:lineRule="auto"/>
              <w:outlineLvl w:val="2"/>
            </w:pPr>
          </w:p>
        </w:tc>
        <w:tc>
          <w:tcPr>
            <w:tcW w:w="1217" w:type="dxa"/>
            <w:vMerge w:val="continue"/>
            <w:vAlign w:val="top"/>
          </w:tcPr>
          <w:p>
            <w:pPr>
              <w:spacing w:line="413" w:lineRule="auto"/>
              <w:outlineLvl w:val="2"/>
            </w:pPr>
          </w:p>
        </w:tc>
        <w:tc>
          <w:tcPr>
            <w:tcW w:w="1217" w:type="dxa"/>
            <w:vMerge w:val="continue"/>
            <w:vAlign w:val="top"/>
          </w:tcPr>
          <w:p>
            <w:pPr>
              <w:spacing w:line="413" w:lineRule="auto"/>
              <w:outlineLvl w:val="2"/>
            </w:pPr>
          </w:p>
        </w:tc>
        <w:tc>
          <w:tcPr>
            <w:tcW w:w="1477" w:type="dxa"/>
            <w:vAlign w:val="top"/>
          </w:tcPr>
          <w:p>
            <w:r>
              <w:rPr>
                <w:rFonts w:hint="eastAsia"/>
              </w:rPr>
              <w:t>开箱半掏</w:t>
            </w:r>
          </w:p>
        </w:tc>
        <w:tc>
          <w:tcPr>
            <w:tcW w:w="959" w:type="dxa"/>
            <w:vAlign w:val="top"/>
          </w:tcPr>
          <w:p>
            <w:r>
              <w:t>450</w:t>
            </w:r>
          </w:p>
        </w:tc>
        <w:tc>
          <w:tcPr>
            <w:tcW w:w="1218" w:type="dxa"/>
            <w:vAlign w:val="top"/>
          </w:tcPr>
          <w:p>
            <w: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Merge w:val="continue"/>
            <w:vAlign w:val="top"/>
          </w:tcPr>
          <w:p>
            <w:pPr>
              <w:spacing w:line="413" w:lineRule="auto"/>
              <w:outlineLvl w:val="2"/>
            </w:pPr>
          </w:p>
        </w:tc>
        <w:tc>
          <w:tcPr>
            <w:tcW w:w="1217" w:type="dxa"/>
            <w:vMerge w:val="continue"/>
            <w:vAlign w:val="top"/>
          </w:tcPr>
          <w:p>
            <w:pPr>
              <w:spacing w:line="413" w:lineRule="auto"/>
              <w:outlineLvl w:val="2"/>
            </w:pPr>
          </w:p>
        </w:tc>
        <w:tc>
          <w:tcPr>
            <w:tcW w:w="1217" w:type="dxa"/>
            <w:vMerge w:val="continue"/>
            <w:vAlign w:val="top"/>
          </w:tcPr>
          <w:p>
            <w:pPr>
              <w:spacing w:line="413" w:lineRule="auto"/>
              <w:outlineLvl w:val="2"/>
            </w:pPr>
          </w:p>
        </w:tc>
        <w:tc>
          <w:tcPr>
            <w:tcW w:w="1217" w:type="dxa"/>
            <w:vMerge w:val="continue"/>
            <w:vAlign w:val="top"/>
          </w:tcPr>
          <w:p>
            <w:pPr>
              <w:spacing w:line="413" w:lineRule="auto"/>
              <w:outlineLvl w:val="2"/>
            </w:pPr>
          </w:p>
        </w:tc>
        <w:tc>
          <w:tcPr>
            <w:tcW w:w="1477" w:type="dxa"/>
            <w:vAlign w:val="top"/>
          </w:tcPr>
          <w:p>
            <w:r>
              <w:rPr>
                <w:rFonts w:hint="eastAsia"/>
              </w:rPr>
              <w:t>开箱全掏</w:t>
            </w:r>
          </w:p>
        </w:tc>
        <w:tc>
          <w:tcPr>
            <w:tcW w:w="959" w:type="dxa"/>
            <w:vAlign w:val="top"/>
          </w:tcPr>
          <w:p>
            <w:r>
              <w:t>600</w:t>
            </w:r>
          </w:p>
        </w:tc>
        <w:tc>
          <w:tcPr>
            <w:tcW w:w="1218" w:type="dxa"/>
            <w:vAlign w:val="top"/>
          </w:tcPr>
          <w:p>
            <w:r>
              <w:t>900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Merge w:val="continue"/>
            <w:vAlign w:val="top"/>
          </w:tcPr>
          <w:p>
            <w:pPr>
              <w:spacing w:line="413" w:lineRule="auto"/>
              <w:outlineLvl w:val="2"/>
            </w:pPr>
          </w:p>
        </w:tc>
        <w:tc>
          <w:tcPr>
            <w:tcW w:w="1217" w:type="dxa"/>
            <w:vMerge w:val="continue"/>
            <w:vAlign w:val="top"/>
          </w:tcPr>
          <w:p>
            <w:pPr>
              <w:spacing w:line="413" w:lineRule="auto"/>
              <w:outlineLvl w:val="2"/>
            </w:pPr>
          </w:p>
        </w:tc>
        <w:tc>
          <w:tcPr>
            <w:tcW w:w="1217" w:type="dxa"/>
            <w:vAlign w:val="top"/>
          </w:tcPr>
          <w:p>
            <w:r>
              <w:rPr>
                <w:rFonts w:hint="eastAsia"/>
              </w:rPr>
              <w:t>机检查验</w:t>
            </w:r>
          </w:p>
        </w:tc>
        <w:tc>
          <w:tcPr>
            <w:tcW w:w="2694" w:type="dxa"/>
            <w:gridSpan w:val="2"/>
            <w:vAlign w:val="top"/>
          </w:tcPr>
          <w:p>
            <w:r>
              <w:rPr>
                <w:rFonts w:hint="eastAsia"/>
              </w:rPr>
              <w:t>移位费＋吊装费（元／箱）</w:t>
            </w:r>
          </w:p>
        </w:tc>
        <w:tc>
          <w:tcPr>
            <w:tcW w:w="959" w:type="dxa"/>
            <w:vAlign w:val="top"/>
          </w:tcPr>
          <w:p>
            <w:r>
              <w:t>215</w:t>
            </w:r>
          </w:p>
        </w:tc>
        <w:tc>
          <w:tcPr>
            <w:tcW w:w="1218" w:type="dxa"/>
            <w:vAlign w:val="top"/>
          </w:tcPr>
          <w:p>
            <w:r>
              <w:t>365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Align w:val="top"/>
          </w:tcPr>
          <w:p>
            <w:pPr>
              <w:spacing w:line="413" w:lineRule="auto"/>
              <w:outlineLvl w:val="2"/>
            </w:pPr>
          </w:p>
        </w:tc>
        <w:tc>
          <w:tcPr>
            <w:tcW w:w="1217" w:type="dxa"/>
            <w:vAlign w:val="top"/>
          </w:tcPr>
          <w:p>
            <w:pPr>
              <w:spacing w:line="413" w:lineRule="auto"/>
              <w:outlineLvl w:val="2"/>
            </w:pPr>
          </w:p>
        </w:tc>
        <w:tc>
          <w:tcPr>
            <w:tcW w:w="1217" w:type="dxa"/>
            <w:vAlign w:val="top"/>
          </w:tcPr>
          <w:p>
            <w:pPr>
              <w:spacing w:line="413" w:lineRule="auto"/>
              <w:outlineLvl w:val="2"/>
            </w:pPr>
          </w:p>
        </w:tc>
        <w:tc>
          <w:tcPr>
            <w:tcW w:w="2694" w:type="dxa"/>
            <w:gridSpan w:val="2"/>
            <w:vAlign w:val="top"/>
          </w:tcPr>
          <w:p>
            <w:r>
              <w:rPr>
                <w:rFonts w:hint="eastAsia"/>
              </w:rPr>
              <w:t>仓储费（元</w:t>
            </w:r>
            <w:r>
              <w:t>/</w:t>
            </w:r>
            <w:r>
              <w:rPr>
                <w:rFonts w:hint="eastAsia"/>
              </w:rPr>
              <w:t>吨。天）</w:t>
            </w:r>
          </w:p>
        </w:tc>
        <w:tc>
          <w:tcPr>
            <w:tcW w:w="2177" w:type="dxa"/>
            <w:gridSpan w:val="2"/>
            <w:vAlign w:val="top"/>
          </w:tcPr>
          <w:p>
            <w:r>
              <w:t>0.3-2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Merge w:val="restart"/>
            <w:vAlign w:val="top"/>
          </w:tcPr>
          <w:p>
            <w:r>
              <w:rPr>
                <w:rFonts w:hint="eastAsia"/>
              </w:rPr>
              <w:t>港外</w:t>
            </w:r>
          </w:p>
        </w:tc>
        <w:tc>
          <w:tcPr>
            <w:tcW w:w="1217" w:type="dxa"/>
            <w:vMerge w:val="restart"/>
            <w:vAlign w:val="top"/>
          </w:tcPr>
          <w:p>
            <w:r>
              <w:rPr>
                <w:rFonts w:hint="eastAsia"/>
              </w:rPr>
              <w:t>普通集装箱</w:t>
            </w:r>
          </w:p>
        </w:tc>
        <w:tc>
          <w:tcPr>
            <w:tcW w:w="1217" w:type="dxa"/>
            <w:vMerge w:val="restart"/>
            <w:vAlign w:val="top"/>
          </w:tcPr>
          <w:p>
            <w:r>
              <w:rPr>
                <w:rFonts w:hint="eastAsia"/>
              </w:rPr>
              <w:t>人工查验</w:t>
            </w:r>
          </w:p>
        </w:tc>
        <w:tc>
          <w:tcPr>
            <w:tcW w:w="1217" w:type="dxa"/>
            <w:vMerge w:val="restart"/>
            <w:vAlign w:val="top"/>
          </w:tcPr>
          <w:p>
            <w:r>
              <w:rPr>
                <w:rFonts w:hint="eastAsia"/>
              </w:rPr>
              <w:t>移位费＋吊装费（元／箱）</w:t>
            </w:r>
          </w:p>
        </w:tc>
        <w:tc>
          <w:tcPr>
            <w:tcW w:w="1477" w:type="dxa"/>
            <w:vAlign w:val="top"/>
          </w:tcPr>
          <w:p>
            <w:r>
              <w:rPr>
                <w:rFonts w:hint="eastAsia"/>
              </w:rPr>
              <w:t>开箱门</w:t>
            </w:r>
          </w:p>
        </w:tc>
        <w:tc>
          <w:tcPr>
            <w:tcW w:w="959" w:type="dxa"/>
            <w:vAlign w:val="top"/>
          </w:tcPr>
          <w:p>
            <w:r>
              <w:rPr>
                <w:rFonts w:hint="eastAsia"/>
              </w:rPr>
              <w:t>——</w:t>
            </w:r>
          </w:p>
        </w:tc>
        <w:tc>
          <w:tcPr>
            <w:tcW w:w="1218" w:type="dxa"/>
            <w:vAlign w:val="top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Merge w:val="continue"/>
            <w:vAlign w:val="top"/>
          </w:tcPr>
          <w:p>
            <w:pPr>
              <w:spacing w:line="413" w:lineRule="auto"/>
              <w:outlineLvl w:val="2"/>
            </w:pPr>
          </w:p>
        </w:tc>
        <w:tc>
          <w:tcPr>
            <w:tcW w:w="1217" w:type="dxa"/>
            <w:vMerge w:val="continue"/>
            <w:vAlign w:val="top"/>
          </w:tcPr>
          <w:p>
            <w:pPr>
              <w:spacing w:line="413" w:lineRule="auto"/>
              <w:outlineLvl w:val="2"/>
            </w:pPr>
          </w:p>
        </w:tc>
        <w:tc>
          <w:tcPr>
            <w:tcW w:w="1217" w:type="dxa"/>
            <w:vMerge w:val="continue"/>
            <w:vAlign w:val="top"/>
          </w:tcPr>
          <w:p>
            <w:pPr>
              <w:spacing w:line="413" w:lineRule="auto"/>
              <w:outlineLvl w:val="2"/>
            </w:pPr>
          </w:p>
        </w:tc>
        <w:tc>
          <w:tcPr>
            <w:tcW w:w="1217" w:type="dxa"/>
            <w:vMerge w:val="continue"/>
            <w:vAlign w:val="top"/>
          </w:tcPr>
          <w:p>
            <w:pPr>
              <w:spacing w:line="413" w:lineRule="auto"/>
              <w:outlineLvl w:val="2"/>
            </w:pPr>
          </w:p>
        </w:tc>
        <w:tc>
          <w:tcPr>
            <w:tcW w:w="1477" w:type="dxa"/>
            <w:vAlign w:val="top"/>
          </w:tcPr>
          <w:p>
            <w:r>
              <w:rPr>
                <w:rFonts w:hint="eastAsia"/>
              </w:rPr>
              <w:t>开箱半掏</w:t>
            </w:r>
          </w:p>
        </w:tc>
        <w:tc>
          <w:tcPr>
            <w:tcW w:w="959" w:type="dxa"/>
            <w:vAlign w:val="top"/>
          </w:tcPr>
          <w:p>
            <w:r>
              <w:t>900</w:t>
            </w:r>
          </w:p>
        </w:tc>
        <w:tc>
          <w:tcPr>
            <w:tcW w:w="1218" w:type="dxa"/>
            <w:vAlign w:val="top"/>
          </w:tcPr>
          <w:p>
            <w:r>
              <w:t>1275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Merge w:val="continue"/>
            <w:vAlign w:val="top"/>
          </w:tcPr>
          <w:p>
            <w:pPr>
              <w:spacing w:line="413" w:lineRule="auto"/>
              <w:outlineLvl w:val="2"/>
            </w:pPr>
          </w:p>
        </w:tc>
        <w:tc>
          <w:tcPr>
            <w:tcW w:w="1217" w:type="dxa"/>
            <w:vMerge w:val="continue"/>
            <w:vAlign w:val="top"/>
          </w:tcPr>
          <w:p>
            <w:pPr>
              <w:spacing w:line="413" w:lineRule="auto"/>
              <w:outlineLvl w:val="2"/>
            </w:pPr>
          </w:p>
        </w:tc>
        <w:tc>
          <w:tcPr>
            <w:tcW w:w="1217" w:type="dxa"/>
            <w:vMerge w:val="continue"/>
            <w:vAlign w:val="top"/>
          </w:tcPr>
          <w:p>
            <w:pPr>
              <w:spacing w:line="413" w:lineRule="auto"/>
              <w:outlineLvl w:val="2"/>
            </w:pPr>
          </w:p>
        </w:tc>
        <w:tc>
          <w:tcPr>
            <w:tcW w:w="1217" w:type="dxa"/>
            <w:vMerge w:val="continue"/>
            <w:vAlign w:val="top"/>
          </w:tcPr>
          <w:p>
            <w:pPr>
              <w:spacing w:line="413" w:lineRule="auto"/>
              <w:outlineLvl w:val="2"/>
            </w:pPr>
          </w:p>
        </w:tc>
        <w:tc>
          <w:tcPr>
            <w:tcW w:w="1477" w:type="dxa"/>
            <w:vAlign w:val="top"/>
          </w:tcPr>
          <w:p>
            <w:r>
              <w:rPr>
                <w:rFonts w:hint="eastAsia"/>
              </w:rPr>
              <w:t>开箱全掏</w:t>
            </w:r>
          </w:p>
        </w:tc>
        <w:tc>
          <w:tcPr>
            <w:tcW w:w="959" w:type="dxa"/>
            <w:vAlign w:val="top"/>
          </w:tcPr>
          <w:p>
            <w:r>
              <w:t>1050</w:t>
            </w:r>
          </w:p>
        </w:tc>
        <w:tc>
          <w:tcPr>
            <w:tcW w:w="1218" w:type="dxa"/>
            <w:vAlign w:val="top"/>
          </w:tcPr>
          <w:p>
            <w:r>
              <w:t>1575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Merge w:val="continue"/>
            <w:vAlign w:val="top"/>
          </w:tcPr>
          <w:p>
            <w:pPr>
              <w:spacing w:line="413" w:lineRule="auto"/>
              <w:outlineLvl w:val="2"/>
            </w:pPr>
          </w:p>
        </w:tc>
        <w:tc>
          <w:tcPr>
            <w:tcW w:w="1217" w:type="dxa"/>
            <w:vMerge w:val="continue"/>
            <w:vAlign w:val="top"/>
          </w:tcPr>
          <w:p>
            <w:pPr>
              <w:spacing w:line="413" w:lineRule="auto"/>
              <w:outlineLvl w:val="2"/>
            </w:pPr>
          </w:p>
        </w:tc>
        <w:tc>
          <w:tcPr>
            <w:tcW w:w="1217" w:type="dxa"/>
            <w:vMerge w:val="continue"/>
            <w:vAlign w:val="top"/>
          </w:tcPr>
          <w:p>
            <w:pPr>
              <w:spacing w:line="413" w:lineRule="auto"/>
              <w:outlineLvl w:val="2"/>
            </w:pPr>
          </w:p>
        </w:tc>
        <w:tc>
          <w:tcPr>
            <w:tcW w:w="1217" w:type="dxa"/>
            <w:vAlign w:val="top"/>
          </w:tcPr>
          <w:p>
            <w:r>
              <w:rPr>
                <w:rFonts w:hint="eastAsia"/>
              </w:rPr>
              <w:t>移位费＋吊装费（元／票）</w:t>
            </w:r>
          </w:p>
        </w:tc>
        <w:tc>
          <w:tcPr>
            <w:tcW w:w="1477" w:type="dxa"/>
            <w:vAlign w:val="top"/>
          </w:tcPr>
          <w:p>
            <w:r>
              <w:rPr>
                <w:rFonts w:hint="eastAsia"/>
              </w:rPr>
              <w:t>出口拼箱</w:t>
            </w:r>
          </w:p>
        </w:tc>
        <w:tc>
          <w:tcPr>
            <w:tcW w:w="2177" w:type="dxa"/>
            <w:gridSpan w:val="2"/>
            <w:vAlign w:val="top"/>
          </w:tcPr>
          <w:p>
            <w: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Merge w:val="continue"/>
            <w:vAlign w:val="top"/>
          </w:tcPr>
          <w:p>
            <w:pPr>
              <w:spacing w:line="413" w:lineRule="auto"/>
              <w:outlineLvl w:val="2"/>
            </w:pPr>
          </w:p>
        </w:tc>
        <w:tc>
          <w:tcPr>
            <w:tcW w:w="1217" w:type="dxa"/>
            <w:vMerge w:val="continue"/>
            <w:vAlign w:val="top"/>
          </w:tcPr>
          <w:p>
            <w:pPr>
              <w:spacing w:line="413" w:lineRule="auto"/>
              <w:outlineLvl w:val="2"/>
            </w:pPr>
          </w:p>
        </w:tc>
        <w:tc>
          <w:tcPr>
            <w:tcW w:w="1217" w:type="dxa"/>
            <w:vAlign w:val="top"/>
          </w:tcPr>
          <w:p>
            <w:r>
              <w:rPr>
                <w:rFonts w:hint="eastAsia"/>
              </w:rPr>
              <w:t>机检查验</w:t>
            </w:r>
          </w:p>
        </w:tc>
        <w:tc>
          <w:tcPr>
            <w:tcW w:w="2694" w:type="dxa"/>
            <w:gridSpan w:val="2"/>
            <w:vAlign w:val="top"/>
          </w:tcPr>
          <w:p>
            <w:r>
              <w:rPr>
                <w:rFonts w:hint="eastAsia"/>
              </w:rPr>
              <w:t>移位费＋吊装费（元／箱）</w:t>
            </w:r>
          </w:p>
        </w:tc>
        <w:tc>
          <w:tcPr>
            <w:tcW w:w="959" w:type="dxa"/>
            <w:vAlign w:val="top"/>
          </w:tcPr>
          <w:p>
            <w:r>
              <w:t>515</w:t>
            </w:r>
          </w:p>
        </w:tc>
        <w:tc>
          <w:tcPr>
            <w:tcW w:w="1218" w:type="dxa"/>
            <w:vAlign w:val="top"/>
          </w:tcPr>
          <w:p>
            <w:r>
              <w:t>740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Merge w:val="continue"/>
            <w:vAlign w:val="top"/>
          </w:tcPr>
          <w:p>
            <w:pPr>
              <w:spacing w:line="413" w:lineRule="auto"/>
              <w:outlineLvl w:val="2"/>
            </w:pPr>
          </w:p>
        </w:tc>
        <w:tc>
          <w:tcPr>
            <w:tcW w:w="1217" w:type="dxa"/>
            <w:vMerge w:val="continue"/>
            <w:vAlign w:val="top"/>
          </w:tcPr>
          <w:p>
            <w:pPr>
              <w:spacing w:line="413" w:lineRule="auto"/>
              <w:outlineLvl w:val="2"/>
            </w:pPr>
          </w:p>
        </w:tc>
        <w:tc>
          <w:tcPr>
            <w:tcW w:w="1217" w:type="dxa"/>
            <w:vAlign w:val="top"/>
          </w:tcPr>
          <w:p>
            <w:r>
              <w:rPr>
                <w:rFonts w:hint="eastAsia"/>
              </w:rPr>
              <w:t>——</w:t>
            </w:r>
          </w:p>
        </w:tc>
        <w:tc>
          <w:tcPr>
            <w:tcW w:w="2694" w:type="dxa"/>
            <w:gridSpan w:val="2"/>
            <w:vAlign w:val="top"/>
          </w:tcPr>
          <w:p>
            <w:r>
              <w:rPr>
                <w:rFonts w:hint="eastAsia"/>
              </w:rPr>
              <w:t>仓储费（元</w:t>
            </w:r>
            <w:r>
              <w:t>/</w:t>
            </w:r>
            <w:r>
              <w:rPr>
                <w:rFonts w:hint="eastAsia"/>
              </w:rPr>
              <w:t>吨。天）</w:t>
            </w:r>
          </w:p>
        </w:tc>
        <w:tc>
          <w:tcPr>
            <w:tcW w:w="2177" w:type="dxa"/>
            <w:gridSpan w:val="2"/>
            <w:vAlign w:val="top"/>
          </w:tcPr>
          <w:p>
            <w:r>
              <w:t>0.3-1.20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Merge w:val="continue"/>
            <w:vAlign w:val="top"/>
          </w:tcPr>
          <w:p>
            <w:pPr>
              <w:spacing w:line="413" w:lineRule="auto"/>
              <w:outlineLvl w:val="2"/>
            </w:pPr>
          </w:p>
        </w:tc>
        <w:tc>
          <w:tcPr>
            <w:tcW w:w="1217" w:type="dxa"/>
            <w:vAlign w:val="top"/>
          </w:tcPr>
          <w:p>
            <w:r>
              <w:rPr>
                <w:rFonts w:hint="eastAsia"/>
              </w:rPr>
              <w:t>危险品集装箱</w:t>
            </w:r>
          </w:p>
        </w:tc>
        <w:tc>
          <w:tcPr>
            <w:tcW w:w="1217" w:type="dxa"/>
            <w:vAlign w:val="top"/>
          </w:tcPr>
          <w:p>
            <w:r>
              <w:rPr>
                <w:rFonts w:hint="eastAsia"/>
              </w:rPr>
              <w:t>——</w:t>
            </w:r>
          </w:p>
        </w:tc>
        <w:tc>
          <w:tcPr>
            <w:tcW w:w="2694" w:type="dxa"/>
            <w:gridSpan w:val="2"/>
            <w:vAlign w:val="top"/>
          </w:tcPr>
          <w:p>
            <w:r>
              <w:rPr>
                <w:rFonts w:hint="eastAsia"/>
              </w:rPr>
              <w:t>移位费＋吊装费（元／箱）</w:t>
            </w:r>
          </w:p>
        </w:tc>
        <w:tc>
          <w:tcPr>
            <w:tcW w:w="959" w:type="dxa"/>
            <w:vAlign w:val="top"/>
          </w:tcPr>
          <w:p>
            <w:r>
              <w:t>1700</w:t>
            </w:r>
          </w:p>
        </w:tc>
        <w:tc>
          <w:tcPr>
            <w:tcW w:w="1218" w:type="dxa"/>
            <w:vAlign w:val="top"/>
          </w:tcPr>
          <w:p>
            <w:r>
              <w:t>3100</w:t>
            </w:r>
          </w:p>
        </w:tc>
      </w:tr>
    </w:tbl>
    <w:p/>
    <w:p>
      <w:r>
        <w:rPr>
          <w:rFonts w:hint="eastAsia"/>
        </w:rPr>
        <w:t>备注说明：</w:t>
      </w:r>
    </w:p>
    <w:p>
      <w:pPr>
        <w:ind w:firstLine="420" w:firstLineChars="200"/>
      </w:pPr>
      <w:r>
        <w:t xml:space="preserve"> 1 </w:t>
      </w:r>
      <w:r>
        <w:rPr>
          <w:rFonts w:hint="eastAsia"/>
        </w:rPr>
        <w:t>、退还费用结算标准适用期限：</w:t>
      </w:r>
      <w:r>
        <w:t xml:space="preserve"> 2016 </w:t>
      </w:r>
      <w:r>
        <w:rPr>
          <w:rFonts w:hint="eastAsia"/>
        </w:rPr>
        <w:t>年</w:t>
      </w:r>
      <w:r>
        <w:t xml:space="preserve"> 4 </w:t>
      </w:r>
      <w:r>
        <w:rPr>
          <w:rFonts w:hint="eastAsia"/>
        </w:rPr>
        <w:t>月</w:t>
      </w:r>
      <w:r>
        <w:t xml:space="preserve"> 1 </w:t>
      </w:r>
      <w:r>
        <w:rPr>
          <w:rFonts w:hint="eastAsia"/>
        </w:rPr>
        <w:t>日至本实施细则施行前。</w:t>
      </w:r>
    </w:p>
    <w:p>
      <w:pPr>
        <w:ind w:firstLine="420" w:firstLineChars="200"/>
      </w:pPr>
      <w:r>
        <w:t xml:space="preserve"> 2 </w:t>
      </w:r>
      <w:r>
        <w:rPr>
          <w:rFonts w:hint="eastAsia"/>
        </w:rPr>
        <w:t>、普通货物</w:t>
      </w:r>
      <w:r>
        <w:t xml:space="preserve"> 45 </w:t>
      </w:r>
      <w:r>
        <w:rPr>
          <w:rFonts w:hint="eastAsia"/>
        </w:rPr>
        <w:t>英尺、</w:t>
      </w:r>
      <w:r>
        <w:t xml:space="preserve"> 53 </w:t>
      </w:r>
      <w:r>
        <w:rPr>
          <w:rFonts w:hint="eastAsia"/>
        </w:rPr>
        <w:t>英尺集装箱和箱式货柜车，按</w:t>
      </w:r>
      <w:r>
        <w:t xml:space="preserve"> 40 </w:t>
      </w:r>
      <w:r>
        <w:rPr>
          <w:rFonts w:hint="eastAsia"/>
        </w:rPr>
        <w:t>英尺集装箱标准基础上增加</w:t>
      </w:r>
      <w:r>
        <w:t xml:space="preserve"> 25 </w:t>
      </w:r>
      <w:r>
        <w:rPr>
          <w:rFonts w:hint="eastAsia"/>
        </w:rPr>
        <w:t>％执行；冷藏货物在以上标准基础上增加</w:t>
      </w:r>
      <w:r>
        <w:t xml:space="preserve"> 50 </w:t>
      </w:r>
      <w:r>
        <w:rPr>
          <w:rFonts w:hint="eastAsia"/>
        </w:rPr>
        <w:t>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B0339"/>
    <w:rsid w:val="4A5B033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2018-04-26T09:09:00Z</dcterms:created>
  <dc:creator>云雪渊</dc:creator>
  <cp:lastModifiedBy>云雪渊</cp:lastModifiedBy>
  <dcterms:modified xsi:type="dcterms:W3CDTF">2018-04-26T09:09:20Z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