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default" w:ascii="helvetica neue" w:hAnsi="helvetica neue" w:eastAsia="helvetica neue" w:cs="helvetica neue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法律服务人员“双随机”抽查记录表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抽查对象姓名 ：                     检查日期：</w:t>
      </w:r>
    </w:p>
    <w:tbl>
      <w:tblPr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3812"/>
        <w:gridCol w:w="989"/>
        <w:gridCol w:w="2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所在执业机构</w:t>
            </w:r>
          </w:p>
        </w:tc>
        <w:tc>
          <w:tcPr>
            <w:tcW w:w="3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执业证号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行政管理机关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所在执业机构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抽查内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容和依据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5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题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0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抽查对象签名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（印章）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 年      月 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检查人员签名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年      月 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    注</w:t>
            </w:r>
          </w:p>
        </w:tc>
        <w:tc>
          <w:tcPr>
            <w:tcW w:w="71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注：此表在省政府办公厅统一制定前使用。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E4A82"/>
    <w:rsid w:val="265E4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2018-05-08T08:42:00Z</dcterms:created>
  <dc:creator>小简夫人</dc:creator>
  <cp:lastModifiedBy>小简夫人</cp:lastModifiedBy>
  <dcterms:modified xsi:type="dcterms:W3CDTF">2018-05-08T08:43:49Z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