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24"/>
          <w:szCs w:val="24"/>
        </w:rPr>
        <w:t>享受增值税优惠的涉农贷款业务清单</w:t>
      </w:r>
    </w:p>
    <w:bookmarkEnd w:id="0"/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1、法人农业贷款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2、法人林业贷款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3、法人畜牧业贷款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4、法人渔业贷款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5、法人农林牧渔服务业贷款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6、法人其他涉农贷款（煤炭、烟草、采矿业、房地产业、城市基础设施建设和其他类的法人涉农贷款除外）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7、小型农田水利设施贷款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8、大型灌区改造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9、中低产田改造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10、防涝抗旱减灾体系建设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11、农产品加工贷款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12、农业生产资料制造贷款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13、农业物资流通贷款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14、农副产品流通贷款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15、农产品出口贷款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16、农业科技贷款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17、农业综合生产能力建设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18、农田水利设施建设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19、农产品流通设施建设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20、其他农业生产性基础设施建设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21、农村饮水安全工程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22、农村公路建设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23、农村能源建设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24、农村沼气建设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25、其他农村生活基础设施建设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26、农村教育设施建设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27、农村卫生设施建设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28、农村文化体育设施建设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29、林业和生态环境建设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30、个人农业贷款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31、个人林业贷款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32、个人畜牧业贷款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33、个人渔业贷款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34、个人农林牧渔服务业贷款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35、农户其他生产经营贷款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36、农户助学贷款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37、农户医疗贷款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38、农户住房贷款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　　39、农户其他消费贷款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36889"/>
    <w:rsid w:val="75736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22222"/>
      <w:sz w:val="18"/>
      <w:szCs w:val="18"/>
      <w:u w:val="none"/>
    </w:rPr>
  </w:style>
  <w:style w:type="character" w:styleId="6">
    <w:name w:val="Hyperlink"/>
    <w:basedOn w:val="3"/>
    <w:uiPriority w:val="0"/>
    <w:rPr>
      <w:color w:val="222222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2018-05-19T06:24:00Z</dcterms:created>
  <dc:creator>小简夫人</dc:creator>
  <cp:lastModifiedBy>小简夫人</cp:lastModifiedBy>
  <dcterms:modified xsi:type="dcterms:W3CDTF">2018-05-19T06:25:09Z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