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宁波国家高新区（新材料科技城）产业发展</w:t>
      </w:r>
    </w:p>
    <w:p>
      <w:pPr>
        <w:spacing w:line="580" w:lineRule="exact"/>
        <w:jc w:val="center"/>
        <w:rPr>
          <w:rFonts w:hint="eastAsia" w:ascii="创艺简标宋" w:eastAsia="创艺简标宋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sz w:val="44"/>
          <w:szCs w:val="44"/>
        </w:rPr>
        <w:t>基金领导小组成员调整名单</w:t>
      </w:r>
    </w:p>
    <w:bookmarkEnd w:id="0"/>
    <w:p>
      <w:pPr>
        <w:spacing w:line="580" w:lineRule="exact"/>
        <w:rPr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因人事变动，经研究，决定对高新区（新材料科技城）产业基金领导小组成员予以调整。调整后的人员名单如下：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长：黄利琴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副组长：王洪平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杨正平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俞承豪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成  员：朱伟东（经发局）  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丁家友（人社局）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邱志峰（财政局）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林贻泉（科技局）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  健（新管局）</w:t>
      </w:r>
    </w:p>
    <w:p>
      <w:pPr>
        <w:spacing w:line="580" w:lineRule="exact"/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高余丰（审计局）</w:t>
      </w:r>
    </w:p>
    <w:p>
      <w:pPr>
        <w:spacing w:line="580" w:lineRule="exact"/>
        <w:ind w:firstLine="800" w:firstLineChars="2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领导小组下设办公室，办公室设在财政局，邱志峰兼任办公室主任。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83A57"/>
    <w:rsid w:val="48E83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2018-06-11T02:33:00Z</dcterms:created>
  <dc:creator>小简夫人</dc:creator>
  <cp:lastModifiedBy>小简夫人</cp:lastModifiedBy>
  <dcterms:modified xsi:type="dcterms:W3CDTF">2018-06-11T02:35:24Z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