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23" w:rightChars="11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附件2：</w:t>
      </w:r>
    </w:p>
    <w:p>
      <w:pPr>
        <w:snapToGrid w:val="0"/>
        <w:spacing w:line="600" w:lineRule="exact"/>
        <w:ind w:right="23" w:rightChars="11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仿宋_GB2312"/>
          <w:sz w:val="44"/>
          <w:szCs w:val="44"/>
        </w:rPr>
        <w:t>交通领域“双随机一公开”事项清单</w:t>
      </w:r>
    </w:p>
    <w:bookmarkEnd w:id="0"/>
    <w:p>
      <w:pPr>
        <w:snapToGrid w:val="0"/>
        <w:spacing w:line="600" w:lineRule="exact"/>
        <w:ind w:right="23" w:rightChars="11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right="23" w:rightChars="11" w:firstLine="645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一、双随机抽查事项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1、水路运输经营企业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2、港口经营人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3、取得港口设施保安符合证书的企业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4、水路运输辅助业经营企业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5、道路旅客运输企业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6、普通货物运输企业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7、危险货物运输企业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8、出租汽车企业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9、驾驶员培训企业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10、机动车维修经营企业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11、客运站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12、货运站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13、检测站</w:t>
      </w:r>
    </w:p>
    <w:p>
      <w:pPr>
        <w:snapToGrid w:val="0"/>
        <w:spacing w:line="600" w:lineRule="exact"/>
        <w:ind w:right="23" w:rightChars="11" w:firstLine="645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二、随机抽查的比例和频次。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1、对水路运输经营企业监督。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比例：每次不少于10%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频次：不少于2次/年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2、港口经营人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比例：每年不少于30%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频次：不少于1次/年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3、取得港口设施保安符合证书的企业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比例：每年不少于30%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频次：不少于1次/年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4、水路运输辅助业经营企业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比例：每次不少于10%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频次：不少于2次/年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5、道路旅客运输企业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比例：每次不超过50%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频次：2次/年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6、普通货物运输企业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比例：每次不少于5%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频次：2次/年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7、危险货物运输企业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比例：每次不超过50%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频次：2次/年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8、出租汽车企业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比例：每次10%至50%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频次：2次/年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9、驾驶员培训企业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比例：每次10%至30%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频次：2次/年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10、机动车维修经营企业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比例：每次5%至10%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频次：2次/年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11、客运站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比例：每次20%至40%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频次：2次/年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12、货运站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比例：每次10%至30%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频次：2次/年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13、检测站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比例：每次不超过50%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频次：2次/年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A461A"/>
    <w:rsid w:val="5C9A46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2018-06-13T09:04:00Z</dcterms:created>
  <dc:creator>苏末微凉 〆</dc:creator>
  <cp:lastModifiedBy>苏末微凉 〆</cp:lastModifiedBy>
  <dcterms:modified xsi:type="dcterms:W3CDTF">2018-06-13T09:04:48Z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