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附件：</w:t>
      </w:r>
      <w:bookmarkStart w:id="0" w:name="_GoBack"/>
      <w:r>
        <w:rPr>
          <w:rFonts w:hint="eastAsia" w:ascii="微软雅黑" w:hAnsi="微软雅黑" w:eastAsia="微软雅黑" w:cs="微软雅黑"/>
          <w:b w:val="0"/>
          <w:i w:val="0"/>
          <w:caps w:val="0"/>
          <w:color w:val="000000"/>
          <w:spacing w:val="0"/>
          <w:sz w:val="27"/>
          <w:szCs w:val="27"/>
          <w:bdr w:val="none" w:color="auto" w:sz="0" w:space="0"/>
          <w:shd w:val="clear" w:fill="FFFFFF"/>
        </w:rPr>
        <w:t>宁波市江北区流动人口量化积分指标体系（暂行）</w:t>
      </w:r>
    </w:p>
    <w:bookmarkEnd w:id="0"/>
    <w:tbl>
      <w:tblPr>
        <w:tblW w:w="8998" w:type="dxa"/>
        <w:jc w:val="center"/>
        <w:tblInd w:w="-34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81"/>
        <w:gridCol w:w="305"/>
        <w:gridCol w:w="890"/>
        <w:gridCol w:w="5765"/>
        <w:gridCol w:w="12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7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分类</w:t>
            </w:r>
          </w:p>
        </w:tc>
        <w:tc>
          <w:tcPr>
            <w:tcW w:w="11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一级指标</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二级指标</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审核或赋分单位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计分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年龄结构（</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18</w:t>
            </w:r>
            <w:r>
              <w:rPr>
                <w:rFonts w:hint="eastAsia" w:ascii="宋体" w:hAnsi="宋体" w:eastAsia="宋体" w:cs="宋体"/>
                <w:b w:val="0"/>
                <w:i w:val="0"/>
                <w:caps w:val="0"/>
                <w:color w:val="000000"/>
                <w:spacing w:val="0"/>
                <w:kern w:val="0"/>
                <w:sz w:val="24"/>
                <w:szCs w:val="24"/>
                <w:bdr w:val="none" w:color="auto" w:sz="0" w:space="0"/>
                <w:lang w:val="en-US" w:eastAsia="zh-CN" w:bidi="ar"/>
              </w:rPr>
              <w:t>周岁以上至</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45</w:t>
            </w:r>
            <w:r>
              <w:rPr>
                <w:rFonts w:hint="eastAsia" w:ascii="宋体" w:hAnsi="宋体" w:eastAsia="宋体" w:cs="宋体"/>
                <w:b w:val="0"/>
                <w:i w:val="0"/>
                <w:caps w:val="0"/>
                <w:color w:val="000000"/>
                <w:spacing w:val="0"/>
                <w:kern w:val="0"/>
                <w:sz w:val="24"/>
                <w:szCs w:val="24"/>
                <w:bdr w:val="none" w:color="auto" w:sz="0" w:space="0"/>
                <w:lang w:val="en-US" w:eastAsia="zh-CN" w:bidi="ar"/>
              </w:rPr>
              <w:t>周岁以下人员为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公安江北分局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文化程度（</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高中（中技、中职）为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分；大专为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w:t>
            </w:r>
            <w:r>
              <w:rPr>
                <w:rFonts w:hint="eastAsia" w:ascii="宋体" w:hAnsi="宋体" w:eastAsia="宋体" w:cs="宋体"/>
                <w:b w:val="0"/>
                <w:i w:val="0"/>
                <w:caps w:val="0"/>
                <w:color w:val="000000"/>
                <w:spacing w:val="0"/>
                <w:kern w:val="0"/>
                <w:sz w:val="24"/>
                <w:szCs w:val="24"/>
                <w:bdr w:val="none" w:color="auto" w:sz="0" w:space="0"/>
                <w:lang w:val="en-US" w:eastAsia="zh-CN" w:bidi="ar"/>
              </w:rPr>
              <w:t>分；本科及以上为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8</w:t>
            </w:r>
            <w:r>
              <w:rPr>
                <w:rFonts w:hint="eastAsia" w:ascii="宋体" w:hAnsi="宋体" w:eastAsia="宋体" w:cs="宋体"/>
                <w:b w:val="0"/>
                <w:i w:val="0"/>
                <w:caps w:val="0"/>
                <w:color w:val="000000"/>
                <w:spacing w:val="0"/>
                <w:kern w:val="0"/>
                <w:sz w:val="24"/>
                <w:szCs w:val="24"/>
                <w:bdr w:val="none" w:color="auto" w:sz="0" w:space="0"/>
                <w:lang w:val="en-US" w:eastAsia="zh-CN" w:bidi="ar"/>
              </w:rPr>
              <w:t>分；硕士研究生及以上为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分。按最高学历计分，不累加计分。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区教育局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就业情况（</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与本区用人单位依法签订劳动合同并办理就业登记或持有本区工商营业执照、承包农林渔业的，按登记就业年限或取得工商营业执照年限、承包农林渔业年限设置分值，每满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年，加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分，最高</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区人社局、市场监管局、农水局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职业技能（</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职业资格五级</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0.5</w:t>
            </w:r>
            <w:r>
              <w:rPr>
                <w:rFonts w:hint="eastAsia" w:ascii="宋体" w:hAnsi="宋体" w:eastAsia="宋体" w:cs="宋体"/>
                <w:b w:val="0"/>
                <w:i w:val="0"/>
                <w:caps w:val="0"/>
                <w:color w:val="000000"/>
                <w:spacing w:val="0"/>
                <w:kern w:val="0"/>
                <w:sz w:val="24"/>
                <w:szCs w:val="24"/>
                <w:bdr w:val="none" w:color="auto" w:sz="0" w:space="0"/>
                <w:lang w:val="en-US" w:eastAsia="zh-CN" w:bidi="ar"/>
              </w:rPr>
              <w:t>分；技术员级职称或职业资格四级</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分；助理级专业技术职称或职业资格三级</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分；中级职称或职业资格二级</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分；副高级职称及以上或职业资格一级</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分。以上得分按最高专业技术资格、职业资格计分，不累加计分。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社会保险（</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在江北区内参加社会保险，每满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月为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分，最高分限</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按规定在江北区开立住房公积金活跃账户（即审核时账户仍在缴费的账户）为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分；在江北区活跃账户并按月缴纳住房公积金，每缴纳</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个月为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分，最高分限</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住房情况（</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居住在本人或配偶购买的店面商铺（或办公用房）的</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分；本人或配偶在江北区拥有个人住房（不含办公用房、店面商铺、小产权房），且其家庭人均住房建筑面积大于</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w:t>
            </w:r>
            <w:r>
              <w:rPr>
                <w:rFonts w:hint="eastAsia" w:ascii="宋体" w:hAnsi="宋体" w:eastAsia="宋体" w:cs="宋体"/>
                <w:b w:val="0"/>
                <w:i w:val="0"/>
                <w:caps w:val="0"/>
                <w:color w:val="000000"/>
                <w:spacing w:val="0"/>
                <w:kern w:val="0"/>
                <w:sz w:val="24"/>
                <w:szCs w:val="24"/>
                <w:bdr w:val="none" w:color="auto" w:sz="0" w:space="0"/>
                <w:lang w:val="en-US" w:eastAsia="zh-CN" w:bidi="ar"/>
              </w:rPr>
              <w:t>平方，小于</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18</w:t>
            </w:r>
            <w:r>
              <w:rPr>
                <w:rFonts w:hint="eastAsia" w:ascii="宋体" w:hAnsi="宋体" w:eastAsia="宋体" w:cs="宋体"/>
                <w:b w:val="0"/>
                <w:i w:val="0"/>
                <w:caps w:val="0"/>
                <w:color w:val="000000"/>
                <w:spacing w:val="0"/>
                <w:kern w:val="0"/>
                <w:sz w:val="24"/>
                <w:szCs w:val="24"/>
                <w:bdr w:val="none" w:color="auto" w:sz="0" w:space="0"/>
                <w:lang w:val="en-US" w:eastAsia="zh-CN" w:bidi="ar"/>
              </w:rPr>
              <w:t>平方</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w:t>
            </w:r>
            <w:r>
              <w:rPr>
                <w:rFonts w:hint="eastAsia" w:ascii="宋体" w:hAnsi="宋体" w:eastAsia="宋体" w:cs="宋体"/>
                <w:b w:val="0"/>
                <w:i w:val="0"/>
                <w:caps w:val="0"/>
                <w:color w:val="000000"/>
                <w:spacing w:val="0"/>
                <w:kern w:val="0"/>
                <w:sz w:val="24"/>
                <w:szCs w:val="24"/>
                <w:bdr w:val="none" w:color="auto" w:sz="0" w:space="0"/>
                <w:lang w:val="en-US" w:eastAsia="zh-CN" w:bidi="ar"/>
              </w:rPr>
              <w:t>分，家庭人均住房建筑面积达到或超过</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18</w:t>
            </w:r>
            <w:r>
              <w:rPr>
                <w:rFonts w:hint="eastAsia" w:ascii="宋体" w:hAnsi="宋体" w:eastAsia="宋体" w:cs="宋体"/>
                <w:b w:val="0"/>
                <w:i w:val="0"/>
                <w:caps w:val="0"/>
                <w:color w:val="000000"/>
                <w:spacing w:val="0"/>
                <w:kern w:val="0"/>
                <w:sz w:val="24"/>
                <w:szCs w:val="24"/>
                <w:bdr w:val="none" w:color="auto" w:sz="0" w:space="0"/>
                <w:lang w:val="en-US" w:eastAsia="zh-CN" w:bidi="ar"/>
              </w:rPr>
              <w:t>平方</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区住建局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居住在用人单位自建集体宿舍的</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w:t>
            </w:r>
            <w:r>
              <w:rPr>
                <w:rFonts w:hint="eastAsia" w:ascii="宋体" w:hAnsi="宋体" w:eastAsia="宋体" w:cs="宋体"/>
                <w:b w:val="0"/>
                <w:i w:val="0"/>
                <w:caps w:val="0"/>
                <w:color w:val="000000"/>
                <w:spacing w:val="0"/>
                <w:kern w:val="0"/>
                <w:sz w:val="24"/>
                <w:szCs w:val="24"/>
                <w:bdr w:val="none" w:color="auto" w:sz="0" w:space="0"/>
                <w:lang w:val="en-US" w:eastAsia="zh-CN" w:bidi="ar"/>
              </w:rPr>
              <w:t>分；居住他人出租房屋，且租住房屋已向公安江北分局进行居住房屋出租登记并向区住建局进行租赁合同备案，且符合《宁波市居住房屋租赁管理若干规定》（政府令第</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228</w:t>
            </w:r>
            <w:r>
              <w:rPr>
                <w:rFonts w:hint="eastAsia" w:ascii="宋体" w:hAnsi="宋体" w:eastAsia="宋体" w:cs="宋体"/>
                <w:b w:val="0"/>
                <w:i w:val="0"/>
                <w:caps w:val="0"/>
                <w:color w:val="000000"/>
                <w:spacing w:val="0"/>
                <w:kern w:val="0"/>
                <w:sz w:val="24"/>
                <w:szCs w:val="24"/>
                <w:bdr w:val="none" w:color="auto" w:sz="0" w:space="0"/>
                <w:lang w:val="en-US" w:eastAsia="zh-CN" w:bidi="ar"/>
              </w:rPr>
              <w:t>号）相关要求的为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分；依本人、配偶申请居住在已列入政府公租房计划的公租房的</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区住建局、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公安江北分局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7</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居住年限（</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《浙江省居住证》持证人在江北区连续居住满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年开始计分，每满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月为</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分，最高分限</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公安江北分局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8</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其他情况（</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在江北区担任“三十强、小巨人、市、区两级高成长”企业分厂车间班组长，一般规上工业企业分厂车间主任</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分；担任“三十强、小巨人、市、区两级高成长”</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企业中层，一般规上工业企业管理层</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分；担任“小巨人、市、区两级高成长”企业管理层</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分；担任“</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三十强”企业管理层</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加分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紧缺特殊岗位（</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属于江北区经济社会发展需要的紧缺适用的特殊人才加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投资纳税（</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近</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年内在江北区个人累计缴纳个人所得税每满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1000</w:t>
            </w:r>
            <w:r>
              <w:rPr>
                <w:rFonts w:hint="eastAsia" w:ascii="宋体" w:hAnsi="宋体" w:eastAsia="宋体" w:cs="宋体"/>
                <w:b w:val="0"/>
                <w:i w:val="0"/>
                <w:caps w:val="0"/>
                <w:color w:val="000000"/>
                <w:spacing w:val="0"/>
                <w:kern w:val="0"/>
                <w:sz w:val="24"/>
                <w:szCs w:val="24"/>
                <w:bdr w:val="none" w:color="auto" w:sz="0" w:space="0"/>
                <w:lang w:val="en-US" w:eastAsia="zh-CN" w:bidi="ar"/>
              </w:rPr>
              <w:t>元加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近</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年内在江北区从事工商经营活动累计缴纳除个人所得税外的其他税、费及基金每满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万元加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分。其他（地税）税费不包括</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项社保。</w:t>
            </w:r>
          </w:p>
        </w:tc>
        <w:tc>
          <w:tcPr>
            <w:tcW w:w="12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带动就业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在本区创建创业实体、吸纳就业并缴纳社保，带动就业</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人以下（含</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人），加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分；带动就业</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人以上</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人以下（含</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人），加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8</w:t>
            </w:r>
            <w:r>
              <w:rPr>
                <w:rFonts w:hint="eastAsia" w:ascii="宋体" w:hAnsi="宋体" w:eastAsia="宋体" w:cs="宋体"/>
                <w:b w:val="0"/>
                <w:i w:val="0"/>
                <w:caps w:val="0"/>
                <w:color w:val="000000"/>
                <w:spacing w:val="0"/>
                <w:kern w:val="0"/>
                <w:sz w:val="24"/>
                <w:szCs w:val="24"/>
                <w:bdr w:val="none" w:color="auto" w:sz="0" w:space="0"/>
                <w:lang w:val="en-US" w:eastAsia="zh-CN" w:bidi="ar"/>
              </w:rPr>
              <w:t>分；带动就业</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人以上，加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i w:val="0"/>
                <w:caps w:val="0"/>
                <w:color w:val="000000"/>
                <w:spacing w:val="0"/>
                <w:kern w:val="0"/>
                <w:sz w:val="24"/>
                <w:szCs w:val="24"/>
                <w:bdr w:val="none" w:color="auto" w:sz="0" w:space="0"/>
                <w:lang w:val="en-US" w:eastAsia="zh-CN" w:bidi="ar"/>
              </w:rPr>
              <w:t>专利创新</w:t>
            </w: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近</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年内获发明专利，每个</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分；获实用新型专利，每个</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分。拥有多项专利的可累计积分，最高不超过</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区科技局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表彰奖励（</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在江北区工作生活期间，获得街道（镇）级党委、政府及区部、委、办、局表彰奖励的，每次加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分；获得区级党委、政府及市部、委、办、局表彰奖励的，每次加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分；获得市级党委、市政府及省部、委、办、局表彰奖励的，每次加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分；获得省级党委、政府或国家级部门表彰奖励的，每次加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分。但是必须同时满足以下条件者才给予积分：（</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）所获奖项需为各级政府设立的奖项，不包括企业及行业协会；（</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）集体项目参照个人项目计分；（</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）同一项目多次获奖的按最高奖励计分，不同奖项可累计积分。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区流管办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b w:val="0"/>
                <w:i w:val="0"/>
                <w:caps w:val="0"/>
                <w:color w:val="000000"/>
                <w:spacing w:val="0"/>
                <w:sz w:val="22"/>
                <w:szCs w:val="22"/>
              </w:rPr>
            </w:pPr>
          </w:p>
        </w:tc>
        <w:tc>
          <w:tcPr>
            <w:tcW w:w="3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6</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参与公益（</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近</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年内，在官方机构注册并服务满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24</w:t>
            </w:r>
            <w:r>
              <w:rPr>
                <w:rFonts w:hint="eastAsia" w:ascii="宋体" w:hAnsi="宋体" w:eastAsia="宋体" w:cs="宋体"/>
                <w:b w:val="0"/>
                <w:i w:val="0"/>
                <w:caps w:val="0"/>
                <w:color w:val="000000"/>
                <w:spacing w:val="0"/>
                <w:kern w:val="0"/>
                <w:sz w:val="24"/>
                <w:szCs w:val="24"/>
                <w:bdr w:val="none" w:color="auto" w:sz="0" w:space="0"/>
                <w:lang w:val="en-US" w:eastAsia="zh-CN" w:bidi="ar"/>
              </w:rPr>
              <w:t>小时后，每增加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小时加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团区委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i w:val="0"/>
                <w:caps w:val="0"/>
                <w:color w:val="000000"/>
                <w:spacing w:val="0"/>
                <w:kern w:val="0"/>
                <w:sz w:val="24"/>
                <w:szCs w:val="24"/>
                <w:bdr w:val="none" w:color="auto" w:sz="0" w:space="0"/>
                <w:lang w:val="en-US" w:eastAsia="zh-CN" w:bidi="ar"/>
              </w:rPr>
              <w:t>本人在江北区参加无偿献血合计全血</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400</w:t>
            </w:r>
            <w:r>
              <w:rPr>
                <w:rFonts w:hint="eastAsia" w:ascii="宋体" w:hAnsi="宋体" w:eastAsia="宋体" w:cs="宋体"/>
                <w:b/>
                <w:i w:val="0"/>
                <w:caps w:val="0"/>
                <w:color w:val="000000"/>
                <w:spacing w:val="0"/>
                <w:kern w:val="0"/>
                <w:sz w:val="24"/>
                <w:szCs w:val="24"/>
                <w:bdr w:val="none" w:color="auto" w:sz="0" w:space="0"/>
                <w:lang w:val="en-US" w:eastAsia="zh-CN" w:bidi="ar"/>
              </w:rPr>
              <w:t>毫升或血小板</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2</w:t>
            </w:r>
            <w:r>
              <w:rPr>
                <w:rFonts w:hint="eastAsia" w:ascii="宋体" w:hAnsi="宋体" w:eastAsia="宋体" w:cs="宋体"/>
                <w:b/>
                <w:i w:val="0"/>
                <w:caps w:val="0"/>
                <w:color w:val="000000"/>
                <w:spacing w:val="0"/>
                <w:kern w:val="0"/>
                <w:sz w:val="24"/>
                <w:szCs w:val="24"/>
                <w:bdr w:val="none" w:color="auto" w:sz="0" w:space="0"/>
                <w:lang w:val="en-US" w:eastAsia="zh-CN" w:bidi="ar"/>
              </w:rPr>
              <w:t>次，为</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2</w:t>
            </w:r>
            <w:r>
              <w:rPr>
                <w:rFonts w:hint="eastAsia" w:ascii="宋体" w:hAnsi="宋体" w:eastAsia="宋体" w:cs="宋体"/>
                <w:b/>
                <w:i w:val="0"/>
                <w:caps w:val="0"/>
                <w:color w:val="000000"/>
                <w:spacing w:val="0"/>
                <w:kern w:val="0"/>
                <w:sz w:val="24"/>
                <w:szCs w:val="24"/>
                <w:bdr w:val="none" w:color="auto" w:sz="0" w:space="0"/>
                <w:lang w:val="en-US" w:eastAsia="zh-CN" w:bidi="ar"/>
              </w:rPr>
              <w:t>分，每增加全血</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200</w:t>
            </w:r>
            <w:r>
              <w:rPr>
                <w:rFonts w:hint="eastAsia" w:ascii="宋体" w:hAnsi="宋体" w:eastAsia="宋体" w:cs="宋体"/>
                <w:b/>
                <w:i w:val="0"/>
                <w:caps w:val="0"/>
                <w:color w:val="000000"/>
                <w:spacing w:val="0"/>
                <w:kern w:val="0"/>
                <w:sz w:val="24"/>
                <w:szCs w:val="24"/>
                <w:bdr w:val="none" w:color="auto" w:sz="0" w:space="0"/>
                <w:lang w:val="en-US" w:eastAsia="zh-CN" w:bidi="ar"/>
              </w:rPr>
              <w:t>毫升或血小板</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1</w:t>
            </w:r>
            <w:r>
              <w:rPr>
                <w:rFonts w:hint="eastAsia" w:ascii="宋体" w:hAnsi="宋体" w:eastAsia="宋体" w:cs="宋体"/>
                <w:b/>
                <w:i w:val="0"/>
                <w:caps w:val="0"/>
                <w:color w:val="000000"/>
                <w:spacing w:val="0"/>
                <w:kern w:val="0"/>
                <w:sz w:val="24"/>
                <w:szCs w:val="24"/>
                <w:bdr w:val="none" w:color="auto" w:sz="0" w:space="0"/>
                <w:lang w:val="en-US" w:eastAsia="zh-CN" w:bidi="ar"/>
              </w:rPr>
              <w:t>次加</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1</w:t>
            </w:r>
            <w:r>
              <w:rPr>
                <w:rFonts w:hint="eastAsia" w:ascii="宋体" w:hAnsi="宋体" w:eastAsia="宋体" w:cs="宋体"/>
                <w:b/>
                <w:i w:val="0"/>
                <w:caps w:val="0"/>
                <w:color w:val="000000"/>
                <w:spacing w:val="0"/>
                <w:kern w:val="0"/>
                <w:sz w:val="24"/>
                <w:szCs w:val="24"/>
                <w:bdr w:val="none" w:color="auto" w:sz="0" w:space="0"/>
                <w:lang w:val="en-US" w:eastAsia="zh-CN" w:bidi="ar"/>
              </w:rPr>
              <w:t>分，最高</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5</w:t>
            </w:r>
            <w:r>
              <w:rPr>
                <w:rFonts w:hint="eastAsia" w:ascii="宋体" w:hAnsi="宋体" w:eastAsia="宋体" w:cs="宋体"/>
                <w:b/>
                <w:i w:val="0"/>
                <w:caps w:val="0"/>
                <w:color w:val="000000"/>
                <w:spacing w:val="0"/>
                <w:kern w:val="0"/>
                <w:sz w:val="24"/>
                <w:szCs w:val="24"/>
                <w:bdr w:val="none" w:color="auto" w:sz="0" w:space="0"/>
                <w:lang w:val="en-US" w:eastAsia="zh-CN" w:bidi="ar"/>
              </w:rPr>
              <w:t>分。登记成为造血干细胞捐献志愿者、登记成为人体器官（遗体、角膜）捐献志愿者，加</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2</w:t>
            </w:r>
            <w:r>
              <w:rPr>
                <w:rFonts w:hint="eastAsia" w:ascii="宋体" w:hAnsi="宋体" w:eastAsia="宋体" w:cs="宋体"/>
                <w:b/>
                <w:i w:val="0"/>
                <w:caps w:val="0"/>
                <w:color w:val="000000"/>
                <w:spacing w:val="0"/>
                <w:kern w:val="0"/>
                <w:sz w:val="24"/>
                <w:szCs w:val="24"/>
                <w:bdr w:val="none" w:color="auto" w:sz="0" w:space="0"/>
                <w:lang w:val="en-US" w:eastAsia="zh-CN" w:bidi="ar"/>
              </w:rPr>
              <w:t>分。申请人配偶或直系亲属在江北区捐献人体器官（角膜、遗体）加</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10</w:t>
            </w:r>
            <w:r>
              <w:rPr>
                <w:rFonts w:hint="eastAsia" w:ascii="宋体" w:hAnsi="宋体" w:eastAsia="宋体" w:cs="宋体"/>
                <w:b/>
                <w:i w:val="0"/>
                <w:caps w:val="0"/>
                <w:color w:val="000000"/>
                <w:spacing w:val="0"/>
                <w:kern w:val="0"/>
                <w:sz w:val="24"/>
                <w:szCs w:val="24"/>
                <w:bdr w:val="none" w:color="auto" w:sz="0" w:space="0"/>
                <w:lang w:val="en-US" w:eastAsia="zh-CN" w:bidi="ar"/>
              </w:rPr>
              <w:t>分；本人或配偶在江北区捐献造血干细胞加</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10</w:t>
            </w:r>
            <w:r>
              <w:rPr>
                <w:rFonts w:hint="eastAsia" w:ascii="宋体" w:hAnsi="宋体" w:eastAsia="宋体" w:cs="宋体"/>
                <w:b/>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区卫计局、区红会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7</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其他情况</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待定</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赋分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3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部门赋分（</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本人或配偶在离开户籍地前办理国家统一格式的《流动人口婚育证明》，加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分；有生育意愿的及时在户籍地或现居住地进行生育登记，到达江北区后按照有关规定及时到居住地计生办校验，加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分。最高累计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区卫计局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为子女参加计划免疫并办理《预防接种证》的，加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分；为子女办理《预防接种证》并按国家标准全程参加计划免疫的，加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分。最高累计加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区卫计局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i w:val="0"/>
                <w:caps w:val="0"/>
                <w:color w:val="000000"/>
                <w:spacing w:val="0"/>
                <w:kern w:val="0"/>
                <w:sz w:val="24"/>
                <w:szCs w:val="24"/>
                <w:bdr w:val="none" w:color="auto" w:sz="0" w:space="0"/>
                <w:lang w:val="en-US" w:eastAsia="zh-CN" w:bidi="ar"/>
              </w:rPr>
              <w:t>携带未满</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16</w:t>
            </w:r>
            <w:r>
              <w:rPr>
                <w:rFonts w:hint="eastAsia" w:ascii="宋体" w:hAnsi="宋体" w:eastAsia="宋体" w:cs="宋体"/>
                <w:b/>
                <w:i w:val="0"/>
                <w:caps w:val="0"/>
                <w:color w:val="000000"/>
                <w:spacing w:val="0"/>
                <w:kern w:val="0"/>
                <w:sz w:val="24"/>
                <w:szCs w:val="24"/>
                <w:bdr w:val="none" w:color="auto" w:sz="0" w:space="0"/>
                <w:lang w:val="en-US" w:eastAsia="zh-CN" w:bidi="ar"/>
              </w:rPr>
              <w:t>周岁子女主动到公安部门办理登记手续的，最高加</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1</w:t>
            </w:r>
            <w:r>
              <w:rPr>
                <w:rFonts w:hint="eastAsia" w:ascii="宋体" w:hAnsi="宋体" w:eastAsia="宋体" w:cs="宋体"/>
                <w:b/>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公安江北分局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街道（慈城镇）赋分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按申请人协助、参与或者完成所在街道（慈城镇）指定的活动、工作等事项，给与设置分值计分，最高分</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分。具体计分标准由街道（慈城镇）制定，并报区流管办备案。</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居住地街道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（慈城镇）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村（社区）赋分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申请人参加居住地村（社区）志愿者服务、公益性服务满</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24</w:t>
            </w:r>
            <w:r>
              <w:rPr>
                <w:rFonts w:hint="eastAsia" w:ascii="宋体" w:hAnsi="宋体" w:eastAsia="宋体" w:cs="宋体"/>
                <w:b w:val="0"/>
                <w:i w:val="0"/>
                <w:caps w:val="0"/>
                <w:color w:val="000000"/>
                <w:spacing w:val="0"/>
                <w:kern w:val="0"/>
                <w:sz w:val="24"/>
                <w:szCs w:val="24"/>
                <w:bdr w:val="none" w:color="auto" w:sz="0" w:space="0"/>
                <w:lang w:val="en-US" w:eastAsia="zh-CN" w:bidi="ar"/>
              </w:rPr>
              <w:t>小时后，每增加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w:t>
            </w:r>
            <w:r>
              <w:rPr>
                <w:rFonts w:hint="eastAsia" w:ascii="宋体" w:hAnsi="宋体" w:eastAsia="宋体" w:cs="宋体"/>
                <w:b w:val="0"/>
                <w:i w:val="0"/>
                <w:caps w:val="0"/>
                <w:color w:val="000000"/>
                <w:spacing w:val="0"/>
                <w:kern w:val="0"/>
                <w:sz w:val="24"/>
                <w:szCs w:val="24"/>
                <w:bdr w:val="none" w:color="auto" w:sz="0" w:space="0"/>
                <w:lang w:val="en-US" w:eastAsia="zh-CN" w:bidi="ar"/>
              </w:rPr>
              <w:t>小时加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0.1</w:t>
            </w:r>
            <w:r>
              <w:rPr>
                <w:rFonts w:hint="eastAsia" w:ascii="宋体" w:hAnsi="宋体" w:eastAsia="宋体" w:cs="宋体"/>
                <w:b w:val="0"/>
                <w:i w:val="0"/>
                <w:caps w:val="0"/>
                <w:color w:val="000000"/>
                <w:spacing w:val="0"/>
                <w:kern w:val="0"/>
                <w:sz w:val="24"/>
                <w:szCs w:val="24"/>
                <w:bdr w:val="none" w:color="auto" w:sz="0" w:space="0"/>
                <w:lang w:val="en-US" w:eastAsia="zh-CN" w:bidi="ar"/>
              </w:rPr>
              <w:t>分，最高</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分，村（社区）可赋分对象的比例不超过当年辖区实际申请人的三分之一。</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居住地村（社区）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申请人单位赋分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在江北工作期间，用人单位对申请人工作表现给予优秀评价的，加</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r>
              <w:rPr>
                <w:rFonts w:hint="eastAsia" w:ascii="宋体" w:hAnsi="宋体" w:eastAsia="宋体" w:cs="宋体"/>
                <w:b w:val="0"/>
                <w:i w:val="0"/>
                <w:caps w:val="0"/>
                <w:color w:val="000000"/>
                <w:spacing w:val="0"/>
                <w:kern w:val="0"/>
                <w:sz w:val="24"/>
                <w:szCs w:val="24"/>
                <w:bdr w:val="none" w:color="auto" w:sz="0" w:space="0"/>
                <w:lang w:val="en-US" w:eastAsia="zh-CN" w:bidi="ar"/>
              </w:rPr>
              <w:t>分。用人单位可赋分对象的比例不超过当年本单位实际申请人的三分之一。</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用人单位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5</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其他情况</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待定</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扣分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（冻结）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项目</w:t>
            </w: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违法犯罪</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申请人受过行政拘留处罚的扣</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80</w:t>
            </w:r>
            <w:r>
              <w:rPr>
                <w:rFonts w:hint="eastAsia" w:ascii="宋体" w:hAnsi="宋体" w:eastAsia="宋体" w:cs="宋体"/>
                <w:b w:val="0"/>
                <w:i w:val="0"/>
                <w:caps w:val="0"/>
                <w:color w:val="000000"/>
                <w:spacing w:val="0"/>
                <w:kern w:val="0"/>
                <w:sz w:val="24"/>
                <w:szCs w:val="24"/>
                <w:bdr w:val="none" w:color="auto" w:sz="0" w:space="0"/>
                <w:lang w:val="en-US" w:eastAsia="zh-CN" w:bidi="ar"/>
              </w:rPr>
              <w:t>分；曾受过刑事处罚的扣</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100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公安江北分局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2</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违法生育</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申请人家庭违反计划生育法律法规生育的，扣</w:t>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80</w:t>
            </w:r>
            <w:r>
              <w:rPr>
                <w:rFonts w:hint="eastAsia" w:ascii="宋体" w:hAnsi="宋体" w:eastAsia="宋体" w:cs="宋体"/>
                <w:b w:val="0"/>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区卫计局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3</w:t>
            </w:r>
          </w:p>
        </w:tc>
        <w:tc>
          <w:tcPr>
            <w:tcW w:w="8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违法失信</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i w:val="0"/>
                <w:caps w:val="0"/>
                <w:color w:val="000000"/>
                <w:spacing w:val="0"/>
                <w:kern w:val="0"/>
                <w:sz w:val="24"/>
                <w:szCs w:val="24"/>
                <w:bdr w:val="none" w:color="auto" w:sz="0" w:space="0"/>
                <w:lang w:val="en-US" w:eastAsia="zh-CN" w:bidi="ar"/>
              </w:rPr>
              <w:t>近</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5</w:t>
            </w:r>
            <w:r>
              <w:rPr>
                <w:rFonts w:hint="eastAsia" w:ascii="宋体" w:hAnsi="宋体" w:eastAsia="宋体" w:cs="宋体"/>
                <w:b/>
                <w:i w:val="0"/>
                <w:caps w:val="0"/>
                <w:color w:val="000000"/>
                <w:spacing w:val="0"/>
                <w:kern w:val="0"/>
                <w:sz w:val="24"/>
                <w:szCs w:val="24"/>
                <w:bdr w:val="none" w:color="auto" w:sz="0" w:space="0"/>
                <w:lang w:val="en-US" w:eastAsia="zh-CN" w:bidi="ar"/>
              </w:rPr>
              <w:t>年内在江北区存在不良个人信用记录的，扣</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80</w:t>
            </w:r>
            <w:r>
              <w:rPr>
                <w:rFonts w:hint="eastAsia" w:ascii="宋体" w:hAnsi="宋体" w:eastAsia="宋体" w:cs="宋体"/>
                <w:b/>
                <w:i w:val="0"/>
                <w:caps w:val="0"/>
                <w:color w:val="000000"/>
                <w:spacing w:val="0"/>
                <w:kern w:val="0"/>
                <w:sz w:val="24"/>
                <w:szCs w:val="24"/>
                <w:bdr w:val="none" w:color="auto" w:sz="0" w:space="0"/>
                <w:lang w:val="en-US" w:eastAsia="zh-CN" w:bidi="ar"/>
              </w:rPr>
              <w:t>分。</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区发改局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4</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其他情况</w:t>
            </w: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违章搭建：在江北区域内违章搭建任何建筑屋或屋棚的，存在违法出租行为的，被公安、城管、住建等部门处罚的，或仍未按相关主管部门要求进行改正的，冻结积分申评。</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公安江北分局、区城管局、区住建局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3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000000"/>
                <w:spacing w:val="0"/>
                <w:sz w:val="22"/>
                <w:szCs w:val="22"/>
              </w:rPr>
            </w:pPr>
          </w:p>
        </w:tc>
        <w:tc>
          <w:tcPr>
            <w:tcW w:w="5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违规经营：在江北区因无证无照等原因违规经营，被市场监督、城管、卫计、交通等部门查处的，冻结积分申评。</w:t>
            </w:r>
          </w:p>
        </w:tc>
        <w:tc>
          <w:tcPr>
            <w:tcW w:w="12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区市场监管局、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b w:val="0"/>
              </w:rPr>
            </w:pPr>
            <w:r>
              <w:rPr>
                <w:rFonts w:hint="eastAsia" w:ascii="宋体" w:hAnsi="宋体" w:eastAsia="宋体" w:cs="宋体"/>
                <w:b w:val="0"/>
                <w:i w:val="0"/>
                <w:caps w:val="0"/>
                <w:color w:val="000000"/>
                <w:spacing w:val="0"/>
                <w:kern w:val="0"/>
                <w:sz w:val="24"/>
                <w:szCs w:val="24"/>
                <w:bdr w:val="none" w:color="auto" w:sz="0" w:space="0"/>
                <w:lang w:val="en-US" w:eastAsia="zh-CN" w:bidi="ar"/>
              </w:rPr>
              <w:t>区城管局、区卫计局、区住建局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注：参加积分的持证人，在总积分相同的情况下，根据申请人静态计分高低情况进行排名;静态计分再次相同的，根据申请人居住证申领时间先后顺序进行排名;其未成年子女申请享受相关待遇时，按就高原则，只取夫妻一方的积分，总积分相同时，夫妻另一方积分作为排名参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807F2"/>
    <w:rsid w:val="3BD807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E43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2018-07-12T03:09:00Z</dcterms:created>
  <dc:creator>小简夫人</dc:creator>
  <cp:lastModifiedBy>小简夫人</cp:lastModifiedBy>
  <dcterms:modified xsi:type="dcterms:W3CDTF">2018-07-12T03:09:24Z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