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432" w:lineRule="auto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D3D3D"/>
          <w:sz w:val="32"/>
          <w:szCs w:val="32"/>
          <w:u w:val="none"/>
        </w:rPr>
        <w:t>附件2：</w:t>
      </w:r>
    </w:p>
    <w:p>
      <w:pPr>
        <w:pStyle w:val="2"/>
        <w:keepNext w:val="0"/>
        <w:keepLines w:val="0"/>
        <w:widowControl/>
        <w:suppressLineNumbers w:val="0"/>
        <w:spacing w:line="432" w:lineRule="auto"/>
        <w:jc w:val="left"/>
      </w:pPr>
      <w:r>
        <w:rPr>
          <w:rFonts w:hint="eastAsia" w:ascii="宋体" w:hAnsi="宋体" w:eastAsia="宋体" w:cs="宋体"/>
          <w:color w:val="3D3D3D"/>
          <w:sz w:val="21"/>
          <w:szCs w:val="21"/>
          <w:u w:val="none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432" w:lineRule="auto"/>
        <w:jc w:val="center"/>
        <w:rPr>
          <w:rFonts w:hint="eastAsia" w:ascii="创艺简d" w:hAnsi="创艺简d" w:eastAsia="创艺简d" w:cs="创艺简d"/>
          <w:b/>
          <w:bCs/>
          <w:sz w:val="44"/>
          <w:szCs w:val="44"/>
        </w:rPr>
      </w:pPr>
      <w:bookmarkStart w:id="0" w:name="_GoBack"/>
      <w:r>
        <w:rPr>
          <w:rFonts w:hint="eastAsia" w:ascii="创艺简d" w:hAnsi="创艺简d" w:eastAsia="创艺简d" w:cs="创艺简d"/>
          <w:b/>
          <w:bCs/>
          <w:color w:val="3D3D3D"/>
          <w:sz w:val="44"/>
          <w:szCs w:val="44"/>
          <w:u w:val="none"/>
        </w:rPr>
        <w:t>2018年招商引资内外资优质项目认定办法</w:t>
      </w:r>
    </w:p>
    <w:bookmarkEnd w:id="0"/>
    <w:p>
      <w:pPr>
        <w:pStyle w:val="2"/>
        <w:keepNext w:val="0"/>
        <w:keepLines w:val="0"/>
        <w:widowControl/>
        <w:suppressLineNumbers w:val="0"/>
        <w:spacing w:line="432" w:lineRule="auto"/>
        <w:jc w:val="center"/>
      </w:pPr>
      <w:r>
        <w:rPr>
          <w:rFonts w:hint="eastAsia" w:ascii="宋体" w:hAnsi="宋体" w:eastAsia="宋体" w:cs="宋体"/>
          <w:color w:val="3D3D3D"/>
          <w:sz w:val="21"/>
          <w:szCs w:val="21"/>
          <w:u w:val="none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432" w:lineRule="auto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宋体" w:hAnsi="宋体" w:eastAsia="宋体" w:cs="宋体"/>
          <w:color w:val="3D3D3D"/>
          <w:sz w:val="21"/>
          <w:szCs w:val="21"/>
          <w:u w:val="none"/>
        </w:rPr>
        <w:t>　</w:t>
      </w:r>
      <w:r>
        <w:rPr>
          <w:rFonts w:hint="eastAsia" w:ascii="仿宋_GB2312" w:hAnsi="仿宋_GB2312" w:eastAsia="仿宋_GB2312" w:cs="仿宋_GB2312"/>
          <w:color w:val="3D3D3D"/>
          <w:sz w:val="32"/>
          <w:szCs w:val="32"/>
          <w:u w:val="none"/>
        </w:rPr>
        <w:t>　一、外资优质项目包括以下类型：</w:t>
      </w:r>
    </w:p>
    <w:p>
      <w:pPr>
        <w:pStyle w:val="2"/>
        <w:keepNext w:val="0"/>
        <w:keepLines w:val="0"/>
        <w:widowControl/>
        <w:suppressLineNumbers w:val="0"/>
        <w:spacing w:line="432" w:lineRule="auto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D3D3D"/>
          <w:sz w:val="32"/>
          <w:szCs w:val="32"/>
          <w:u w:val="none"/>
        </w:rPr>
        <w:t>　　（一）合同利用外资在1000万美元以上且当年实际到位外资50%以上的列入《外商投资产业指导目录》鼓励类的制造业项目；</w:t>
      </w:r>
    </w:p>
    <w:p>
      <w:pPr>
        <w:pStyle w:val="2"/>
        <w:keepNext w:val="0"/>
        <w:keepLines w:val="0"/>
        <w:widowControl/>
        <w:suppressLineNumbers w:val="0"/>
        <w:spacing w:line="432" w:lineRule="auto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D3D3D"/>
          <w:sz w:val="32"/>
          <w:szCs w:val="32"/>
          <w:u w:val="none"/>
        </w:rPr>
        <w:t>　　（二）合同利用外资在300万美元以上且当年实际到位外资50%以上的战略性新兴产业项目，此项目以列入《慈溪市新兴产业和传统特色优势产业投资导向目录》（慈政办发〔2015〕158号）中的新兴产业目录为准；</w:t>
      </w:r>
    </w:p>
    <w:p>
      <w:pPr>
        <w:pStyle w:val="2"/>
        <w:keepNext w:val="0"/>
        <w:keepLines w:val="0"/>
        <w:widowControl/>
        <w:suppressLineNumbers w:val="0"/>
        <w:spacing w:line="432" w:lineRule="auto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D3D3D"/>
          <w:sz w:val="32"/>
          <w:szCs w:val="32"/>
          <w:u w:val="none"/>
        </w:rPr>
        <w:t>　　（三）当年实际到位外资100万美元以上的现代农业、现代服务业、文化创意产业项目（由市招商引资领导小组办公室审定）；</w:t>
      </w:r>
    </w:p>
    <w:p>
      <w:pPr>
        <w:pStyle w:val="2"/>
        <w:keepNext w:val="0"/>
        <w:keepLines w:val="0"/>
        <w:widowControl/>
        <w:suppressLineNumbers w:val="0"/>
        <w:spacing w:line="432" w:lineRule="auto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D3D3D"/>
          <w:sz w:val="32"/>
          <w:szCs w:val="32"/>
          <w:u w:val="none"/>
        </w:rPr>
        <w:t>　　（四）世界500强企业在我市设立的子公司、研发总部、研发分支机构、办事处；</w:t>
      </w:r>
    </w:p>
    <w:p>
      <w:pPr>
        <w:pStyle w:val="2"/>
        <w:keepNext w:val="0"/>
        <w:keepLines w:val="0"/>
        <w:widowControl/>
        <w:suppressLineNumbers w:val="0"/>
        <w:spacing w:line="432" w:lineRule="auto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D3D3D"/>
          <w:sz w:val="32"/>
          <w:szCs w:val="32"/>
          <w:u w:val="none"/>
        </w:rPr>
        <w:t>　　（五）外资金融机构、外资投资性公司项目。</w:t>
      </w:r>
    </w:p>
    <w:p>
      <w:pPr>
        <w:pStyle w:val="2"/>
        <w:keepNext w:val="0"/>
        <w:keepLines w:val="0"/>
        <w:widowControl/>
        <w:suppressLineNumbers w:val="0"/>
        <w:spacing w:line="432" w:lineRule="auto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D3D3D"/>
          <w:sz w:val="32"/>
          <w:szCs w:val="32"/>
          <w:u w:val="none"/>
        </w:rPr>
        <w:t>　　二、内资优质项目包括以下类型：</w:t>
      </w:r>
    </w:p>
    <w:p>
      <w:pPr>
        <w:pStyle w:val="2"/>
        <w:keepNext w:val="0"/>
        <w:keepLines w:val="0"/>
        <w:widowControl/>
        <w:suppressLineNumbers w:val="0"/>
        <w:spacing w:line="432" w:lineRule="auto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D3D3D"/>
          <w:sz w:val="32"/>
          <w:szCs w:val="32"/>
          <w:u w:val="none"/>
        </w:rPr>
        <w:t>　　（一）总投资超过1亿元且当年实际到位超过5000万元的新兴产业项目、现代物流项目；</w:t>
      </w:r>
    </w:p>
    <w:p>
      <w:pPr>
        <w:pStyle w:val="2"/>
        <w:keepNext w:val="0"/>
        <w:keepLines w:val="0"/>
        <w:widowControl/>
        <w:suppressLineNumbers w:val="0"/>
        <w:spacing w:line="432" w:lineRule="auto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D3D3D"/>
          <w:sz w:val="32"/>
          <w:szCs w:val="32"/>
          <w:u w:val="none"/>
        </w:rPr>
        <w:t>　　（二）国内500强企业直接投资项目、央企直接投资项目；</w:t>
      </w:r>
    </w:p>
    <w:p>
      <w:pPr>
        <w:pStyle w:val="2"/>
        <w:keepNext w:val="0"/>
        <w:keepLines w:val="0"/>
        <w:widowControl/>
        <w:suppressLineNumbers w:val="0"/>
        <w:spacing w:line="432" w:lineRule="auto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D3D3D"/>
          <w:sz w:val="32"/>
          <w:szCs w:val="32"/>
          <w:u w:val="none"/>
        </w:rPr>
        <w:t>　　（三）国家级研发、检测机构或当年实际到位超过2000万元的研发机构项目；</w:t>
      </w:r>
    </w:p>
    <w:p>
      <w:pPr>
        <w:pStyle w:val="2"/>
        <w:keepNext w:val="0"/>
        <w:keepLines w:val="0"/>
        <w:widowControl/>
        <w:suppressLineNumbers w:val="0"/>
        <w:spacing w:line="432" w:lineRule="auto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D3D3D"/>
          <w:sz w:val="32"/>
          <w:szCs w:val="32"/>
          <w:u w:val="none"/>
        </w:rPr>
        <w:t>　　（四）当年实际到位超过2000万元的文化创意、电子商务、中介服务（律师、会计）企业项目。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创艺简d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EE2AE4"/>
    <w:rsid w:val="25EE2AE4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rFonts w:hint="eastAsia" w:ascii="宋体" w:hAnsi="宋体" w:eastAsia="宋体" w:cs="宋体"/>
      <w:color w:val="3D3D3D"/>
      <w:u w:val="none"/>
    </w:rPr>
  </w:style>
  <w:style w:type="character" w:styleId="5">
    <w:name w:val="Hyperlink"/>
    <w:basedOn w:val="3"/>
    <w:uiPriority w:val="0"/>
    <w:rPr>
      <w:rFonts w:hint="eastAsia" w:ascii="宋体" w:hAnsi="宋体" w:eastAsia="宋体" w:cs="宋体"/>
      <w:color w:val="3D3D3D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2018-11-19T01:46:00Z</dcterms:created>
  <dc:creator>翔</dc:creator>
  <cp:lastModifiedBy>翔</cp:lastModifiedBy>
  <dcterms:modified xsi:type="dcterms:W3CDTF">2018-11-19T01:47:17Z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2052-10.1.0.7671</vt:lpwstr>
  </property>
</Properties>
</file>