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40"/>
        <w:gridCol w:w="580"/>
        <w:gridCol w:w="2400"/>
        <w:gridCol w:w="1483"/>
        <w:gridCol w:w="2258"/>
        <w:gridCol w:w="1830"/>
        <w:gridCol w:w="1455"/>
        <w:gridCol w:w="1588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附件2: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奉化区企业人才生活津贴补助汇总表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                 单位负责人（签名）：           填报时间：        填报人：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职称/技能等级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补贴起止日期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申领金额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核定金额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注：填报单位填写“申领金额”，“核定金额”待</w:t>
            </w:r>
            <w:r>
              <w:rPr>
                <w:rFonts w:hint="eastAsia"/>
                <w:szCs w:val="21"/>
              </w:rPr>
              <w:t>区委人才工作领导小组审议</w:t>
            </w:r>
            <w:r>
              <w:rPr>
                <w:rFonts w:hint="eastAsia" w:ascii="宋体" w:hAnsi="宋体" w:cs="宋体"/>
                <w:kern w:val="0"/>
                <w:szCs w:val="21"/>
              </w:rPr>
              <w:t>认定后再作确定。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597A"/>
    <w:rsid w:val="34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2018-12-25T06:20:00Z</dcterms:created>
  <dc:creator>╱/.染忆oΟ</dc:creator>
  <cp:lastModifiedBy>╱/.染忆oΟ</cp:lastModifiedBy>
  <dcterms:modified xsi:type="dcterms:W3CDTF">2018-12-25T06:21:08Z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