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附件：</w:t>
      </w:r>
    </w:p>
    <w:p>
      <w:pPr>
        <w:widowControl/>
        <w:spacing w:line="315" w:lineRule="atLeast"/>
        <w:jc w:val="center"/>
        <w:rPr>
          <w:rFonts w:hint="eastAsia" w:ascii="宋体" w:hAnsi="宋体"/>
          <w:b/>
          <w:color w:val="000000"/>
          <w:sz w:val="36"/>
          <w:szCs w:val="36"/>
        </w:rPr>
      </w:pPr>
      <w:bookmarkStart w:id="0" w:name="_GoBack"/>
      <w:r>
        <w:rPr>
          <w:rFonts w:hint="eastAsia" w:ascii="宋体" w:hAnsi="宋体"/>
          <w:b/>
          <w:color w:val="000000"/>
          <w:sz w:val="36"/>
          <w:szCs w:val="36"/>
        </w:rPr>
        <w:t>奉化区2019年度社会保险缴费比例与缴费基数</w:t>
      </w:r>
    </w:p>
    <w:p>
      <w:pPr>
        <w:widowControl/>
        <w:spacing w:line="315" w:lineRule="atLeast"/>
        <w:jc w:val="center"/>
        <w:rPr>
          <w:rFonts w:hint="eastAsia" w:ascii="仿宋_GB2312" w:hAnsi="宋体" w:eastAsia="仿宋_GB2312" w:cs="宋体"/>
          <w:color w:val="000000"/>
          <w:kern w:val="0"/>
          <w:sz w:val="28"/>
          <w:szCs w:val="28"/>
        </w:rPr>
      </w:pPr>
      <w:r>
        <w:rPr>
          <w:rFonts w:hint="eastAsia" w:ascii="宋体" w:hAnsi="宋体"/>
          <w:b/>
          <w:color w:val="000000"/>
          <w:sz w:val="36"/>
          <w:szCs w:val="36"/>
        </w:rPr>
        <w:t>申报范围一览表</w:t>
      </w:r>
    </w:p>
    <w:bookmarkEnd w:id="0"/>
    <w:p>
      <w:pPr>
        <w:widowControl/>
        <w:spacing w:line="315" w:lineRule="atLeast"/>
        <w:rPr>
          <w:rFonts w:hint="eastAsia" w:ascii="宋体" w:hAnsi="宋体" w:cs="宋体"/>
          <w:color w:val="000000"/>
          <w:kern w:val="0"/>
          <w:sz w:val="18"/>
          <w:szCs w:val="18"/>
        </w:rPr>
      </w:pPr>
      <w:r>
        <w:rPr>
          <w:rFonts w:hint="eastAsia" w:ascii="仿宋_GB2312" w:hAnsi="仿宋" w:eastAsia="仿宋_GB2312" w:cs="宋体"/>
          <w:color w:val="000000"/>
          <w:kern w:val="0"/>
          <w:sz w:val="28"/>
          <w:szCs w:val="28"/>
        </w:rPr>
        <w:t>表一：适用于企业单位（含参照企业参保的其它单位）</w:t>
      </w:r>
      <w:r>
        <w:rPr>
          <w:rFonts w:hint="eastAsia" w:ascii="仿宋_GB2312" w:hAnsi="宋体" w:eastAsia="仿宋_GB2312" w:cs="宋体"/>
          <w:color w:val="000000"/>
          <w:kern w:val="0"/>
          <w:sz w:val="28"/>
          <w:szCs w:val="28"/>
        </w:rPr>
        <w:t xml:space="preserve">  </w:t>
      </w:r>
      <w:r>
        <w:rPr>
          <w:rFonts w:hint="eastAsia" w:ascii="宋体" w:hAnsi="宋体" w:cs="宋体"/>
          <w:b/>
          <w:color w:val="000000"/>
          <w:kern w:val="0"/>
          <w:szCs w:val="21"/>
        </w:rPr>
        <w:t xml:space="preserve">          </w:t>
      </w:r>
      <w:r>
        <w:rPr>
          <w:rFonts w:ascii="宋体" w:hAnsi="宋体" w:cs="宋体"/>
          <w:color w:val="000000"/>
          <w:kern w:val="0"/>
          <w:sz w:val="18"/>
          <w:szCs w:val="18"/>
        </w:rPr>
        <w:t>单位：元</w:t>
      </w:r>
    </w:p>
    <w:tbl>
      <w:tblPr>
        <w:tblStyle w:val="3"/>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228"/>
        <w:gridCol w:w="1831"/>
        <w:gridCol w:w="154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trPr>
        <w:tc>
          <w:tcPr>
            <w:tcW w:w="1510" w:type="dxa"/>
            <w:vMerge w:val="restart"/>
            <w:vAlign w:val="center"/>
          </w:tcPr>
          <w:p>
            <w:pPr>
              <w:widowControl/>
              <w:spacing w:line="315" w:lineRule="atLeast"/>
              <w:jc w:val="center"/>
              <w:rPr>
                <w:rFonts w:hint="eastAsia" w:ascii="宋体" w:hAnsi="宋体" w:cs="宋体"/>
                <w:color w:val="000000"/>
                <w:kern w:val="0"/>
                <w:sz w:val="18"/>
                <w:szCs w:val="18"/>
              </w:rPr>
            </w:pPr>
            <w:r>
              <w:rPr>
                <w:rFonts w:ascii="宋体" w:hAnsi="宋体" w:cs="宋体"/>
                <w:color w:val="000000"/>
                <w:kern w:val="0"/>
                <w:sz w:val="18"/>
                <w:szCs w:val="18"/>
              </w:rPr>
              <w:t>险种及类型</w:t>
            </w:r>
          </w:p>
        </w:tc>
        <w:tc>
          <w:tcPr>
            <w:tcW w:w="1510" w:type="dxa"/>
            <w:vMerge w:val="restart"/>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缴费基数</w:t>
            </w:r>
          </w:p>
          <w:p>
            <w:pPr>
              <w:widowControl/>
              <w:spacing w:line="315" w:lineRule="atLeast"/>
              <w:jc w:val="center"/>
              <w:rPr>
                <w:rFonts w:hint="eastAsia" w:ascii="宋体" w:hAnsi="宋体" w:cs="宋体"/>
                <w:color w:val="000000"/>
                <w:kern w:val="0"/>
                <w:sz w:val="18"/>
                <w:szCs w:val="18"/>
              </w:rPr>
            </w:pPr>
            <w:r>
              <w:rPr>
                <w:rFonts w:ascii="宋体" w:hAnsi="宋体" w:cs="宋体"/>
                <w:color w:val="000000"/>
                <w:kern w:val="0"/>
                <w:sz w:val="18"/>
                <w:szCs w:val="18"/>
              </w:rPr>
              <w:t>下限与上限</w:t>
            </w:r>
          </w:p>
        </w:tc>
        <w:tc>
          <w:tcPr>
            <w:tcW w:w="3059" w:type="dxa"/>
            <w:gridSpan w:val="2"/>
            <w:vAlign w:val="center"/>
          </w:tcPr>
          <w:p>
            <w:pPr>
              <w:widowControl/>
              <w:spacing w:line="315" w:lineRule="atLeast"/>
              <w:jc w:val="center"/>
              <w:rPr>
                <w:rFonts w:hint="eastAsia" w:ascii="宋体" w:hAnsi="宋体" w:cs="宋体"/>
                <w:color w:val="000000"/>
                <w:kern w:val="0"/>
                <w:sz w:val="18"/>
                <w:szCs w:val="18"/>
              </w:rPr>
            </w:pPr>
            <w:r>
              <w:rPr>
                <w:rFonts w:ascii="宋体" w:hAnsi="宋体" w:cs="宋体"/>
                <w:color w:val="000000"/>
                <w:kern w:val="0"/>
                <w:sz w:val="18"/>
                <w:szCs w:val="18"/>
              </w:rPr>
              <w:t>缴费费率</w:t>
            </w:r>
          </w:p>
        </w:tc>
        <w:tc>
          <w:tcPr>
            <w:tcW w:w="3105" w:type="dxa"/>
            <w:gridSpan w:val="2"/>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月缴费金额</w:t>
            </w:r>
          </w:p>
          <w:p>
            <w:pPr>
              <w:widowControl/>
              <w:spacing w:line="315" w:lineRule="atLeast"/>
              <w:ind w:firstLine="990" w:firstLineChars="550"/>
              <w:rPr>
                <w:rFonts w:hint="eastAsia" w:ascii="宋体" w:hAnsi="宋体" w:cs="宋体"/>
                <w:color w:val="000000"/>
                <w:kern w:val="0"/>
                <w:sz w:val="18"/>
                <w:szCs w:val="18"/>
              </w:rPr>
            </w:pPr>
            <w:r>
              <w:rPr>
                <w:rFonts w:ascii="宋体" w:hAnsi="宋体" w:cs="宋体"/>
                <w:color w:val="000000"/>
                <w:kern w:val="0"/>
                <w:sz w:val="18"/>
                <w:szCs w:val="18"/>
              </w:rPr>
              <w:t>最低与最高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Merge w:val="continue"/>
            <w:vAlign w:val="center"/>
          </w:tcPr>
          <w:p>
            <w:pPr>
              <w:widowControl/>
              <w:spacing w:line="315" w:lineRule="atLeast"/>
              <w:jc w:val="center"/>
              <w:rPr>
                <w:rFonts w:hint="eastAsia" w:ascii="宋体" w:hAnsi="宋体" w:cs="宋体"/>
                <w:color w:val="000000"/>
                <w:kern w:val="0"/>
                <w:sz w:val="18"/>
                <w:szCs w:val="18"/>
              </w:rPr>
            </w:pPr>
          </w:p>
        </w:tc>
        <w:tc>
          <w:tcPr>
            <w:tcW w:w="1510" w:type="dxa"/>
            <w:vMerge w:val="continue"/>
            <w:vAlign w:val="center"/>
          </w:tcPr>
          <w:p>
            <w:pPr>
              <w:widowControl/>
              <w:spacing w:line="315" w:lineRule="atLeast"/>
              <w:jc w:val="center"/>
              <w:rPr>
                <w:rFonts w:hint="eastAsia" w:ascii="宋体" w:hAnsi="宋体" w:cs="宋体"/>
                <w:color w:val="000000"/>
                <w:kern w:val="0"/>
                <w:sz w:val="18"/>
                <w:szCs w:val="18"/>
              </w:rPr>
            </w:pPr>
          </w:p>
        </w:tc>
        <w:tc>
          <w:tcPr>
            <w:tcW w:w="1228" w:type="dxa"/>
            <w:vAlign w:val="center"/>
          </w:tcPr>
          <w:p>
            <w:pPr>
              <w:widowControl/>
              <w:spacing w:line="315" w:lineRule="atLeast"/>
              <w:jc w:val="center"/>
              <w:rPr>
                <w:rFonts w:hint="eastAsia" w:ascii="宋体" w:hAnsi="宋体" w:cs="宋体"/>
                <w:color w:val="000000"/>
                <w:kern w:val="0"/>
                <w:sz w:val="18"/>
                <w:szCs w:val="18"/>
              </w:rPr>
            </w:pPr>
            <w:r>
              <w:rPr>
                <w:rFonts w:ascii="宋体" w:hAnsi="宋体" w:cs="宋体"/>
                <w:color w:val="000000"/>
                <w:kern w:val="0"/>
                <w:sz w:val="18"/>
                <w:szCs w:val="18"/>
              </w:rPr>
              <w:t>单位标准</w:t>
            </w:r>
          </w:p>
        </w:tc>
        <w:tc>
          <w:tcPr>
            <w:tcW w:w="1831" w:type="dxa"/>
            <w:vAlign w:val="center"/>
          </w:tcPr>
          <w:p>
            <w:pPr>
              <w:widowControl/>
              <w:spacing w:line="315" w:lineRule="atLeast"/>
              <w:jc w:val="center"/>
              <w:rPr>
                <w:rFonts w:hint="eastAsia" w:ascii="宋体" w:hAnsi="宋体" w:cs="宋体"/>
                <w:color w:val="000000"/>
                <w:kern w:val="0"/>
                <w:sz w:val="18"/>
                <w:szCs w:val="18"/>
              </w:rPr>
            </w:pPr>
            <w:r>
              <w:rPr>
                <w:rFonts w:ascii="宋体" w:hAnsi="宋体" w:cs="宋体"/>
                <w:color w:val="000000"/>
                <w:kern w:val="0"/>
                <w:sz w:val="18"/>
                <w:szCs w:val="18"/>
              </w:rPr>
              <w:t>个人标准</w:t>
            </w:r>
          </w:p>
        </w:tc>
        <w:tc>
          <w:tcPr>
            <w:tcW w:w="1545" w:type="dxa"/>
            <w:vAlign w:val="center"/>
          </w:tcPr>
          <w:p>
            <w:pPr>
              <w:widowControl/>
              <w:spacing w:line="315" w:lineRule="atLeast"/>
              <w:jc w:val="center"/>
              <w:rPr>
                <w:rFonts w:hint="eastAsia" w:ascii="宋体" w:hAnsi="宋体" w:cs="宋体"/>
                <w:color w:val="000000"/>
                <w:kern w:val="0"/>
                <w:sz w:val="18"/>
                <w:szCs w:val="18"/>
              </w:rPr>
            </w:pPr>
            <w:r>
              <w:rPr>
                <w:rFonts w:ascii="宋体" w:hAnsi="宋体" w:cs="宋体"/>
                <w:color w:val="000000"/>
                <w:kern w:val="0"/>
                <w:sz w:val="18"/>
                <w:szCs w:val="18"/>
              </w:rPr>
              <w:t>单位标准</w:t>
            </w:r>
          </w:p>
        </w:tc>
        <w:tc>
          <w:tcPr>
            <w:tcW w:w="1560" w:type="dxa"/>
            <w:vAlign w:val="center"/>
          </w:tcPr>
          <w:p>
            <w:pPr>
              <w:widowControl/>
              <w:spacing w:line="315" w:lineRule="atLeast"/>
              <w:jc w:val="center"/>
              <w:rPr>
                <w:rFonts w:hint="eastAsia" w:ascii="宋体" w:hAnsi="宋体" w:cs="宋体"/>
                <w:color w:val="000000"/>
                <w:kern w:val="0"/>
                <w:sz w:val="18"/>
                <w:szCs w:val="18"/>
              </w:rPr>
            </w:pPr>
            <w:r>
              <w:rPr>
                <w:rFonts w:ascii="宋体" w:hAnsi="宋体" w:cs="宋体"/>
                <w:color w:val="000000"/>
                <w:kern w:val="0"/>
                <w:sz w:val="18"/>
                <w:szCs w:val="18"/>
              </w:rPr>
              <w:t>个人标准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Align w:val="center"/>
          </w:tcPr>
          <w:p>
            <w:pPr>
              <w:widowControl/>
              <w:spacing w:line="315" w:lineRule="atLeast"/>
              <w:jc w:val="center"/>
              <w:rPr>
                <w:rFonts w:hint="eastAsia" w:ascii="宋体" w:hAnsi="宋体" w:cs="宋体"/>
                <w:color w:val="000000"/>
                <w:kern w:val="0"/>
                <w:sz w:val="18"/>
                <w:szCs w:val="18"/>
              </w:rPr>
            </w:pPr>
            <w:r>
              <w:rPr>
                <w:rFonts w:ascii="宋体" w:hAnsi="宋体" w:cs="宋体"/>
                <w:color w:val="000000"/>
                <w:kern w:val="0"/>
                <w:sz w:val="18"/>
                <w:szCs w:val="18"/>
              </w:rPr>
              <w:t>基本养老保险</w:t>
            </w:r>
          </w:p>
        </w:tc>
        <w:tc>
          <w:tcPr>
            <w:tcW w:w="1510" w:type="dxa"/>
            <w:vAlign w:val="center"/>
          </w:tcPr>
          <w:p>
            <w:pPr>
              <w:widowControl/>
              <w:spacing w:line="315" w:lineRule="atLeast"/>
              <w:jc w:val="center"/>
              <w:rPr>
                <w:rFonts w:ascii="宋体" w:hAnsi="宋体" w:cs="宋体"/>
                <w:color w:val="000000"/>
                <w:kern w:val="0"/>
                <w:sz w:val="18"/>
                <w:szCs w:val="18"/>
              </w:rPr>
            </w:pPr>
            <w:r>
              <w:rPr>
                <w:rFonts w:hint="eastAsia" w:ascii="宋体" w:hAnsi="宋体" w:cs="宋体"/>
                <w:color w:val="000000"/>
                <w:kern w:val="0"/>
                <w:sz w:val="18"/>
                <w:szCs w:val="18"/>
              </w:rPr>
              <w:t>3539-17694</w:t>
            </w:r>
          </w:p>
        </w:tc>
        <w:tc>
          <w:tcPr>
            <w:tcW w:w="1228"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1831"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1545" w:type="dxa"/>
            <w:vAlign w:val="center"/>
          </w:tcPr>
          <w:p>
            <w:pPr>
              <w:widowControl/>
              <w:spacing w:line="315" w:lineRule="atLeast"/>
              <w:jc w:val="center"/>
              <w:rPr>
                <w:rFonts w:ascii="宋体" w:hAnsi="宋体" w:cs="宋体"/>
                <w:color w:val="000000"/>
                <w:kern w:val="0"/>
                <w:sz w:val="18"/>
                <w:szCs w:val="18"/>
              </w:rPr>
            </w:pPr>
            <w:r>
              <w:rPr>
                <w:rFonts w:hint="eastAsia" w:ascii="宋体" w:hAnsi="宋体" w:cs="宋体"/>
                <w:color w:val="000000"/>
                <w:kern w:val="0"/>
                <w:sz w:val="18"/>
                <w:szCs w:val="18"/>
              </w:rPr>
              <w:t>495.5-2477.2</w:t>
            </w:r>
          </w:p>
        </w:tc>
        <w:tc>
          <w:tcPr>
            <w:tcW w:w="1560" w:type="dxa"/>
            <w:vAlign w:val="center"/>
          </w:tcPr>
          <w:p>
            <w:pPr>
              <w:widowControl/>
              <w:spacing w:line="315" w:lineRule="atLeast"/>
              <w:jc w:val="center"/>
              <w:rPr>
                <w:rFonts w:ascii="宋体" w:hAnsi="宋体" w:cs="宋体"/>
                <w:color w:val="000000"/>
                <w:kern w:val="0"/>
                <w:sz w:val="18"/>
                <w:szCs w:val="18"/>
              </w:rPr>
            </w:pPr>
            <w:r>
              <w:rPr>
                <w:rFonts w:hint="eastAsia" w:ascii="宋体" w:hAnsi="宋体" w:cs="宋体"/>
                <w:color w:val="000000"/>
                <w:kern w:val="0"/>
                <w:sz w:val="18"/>
                <w:szCs w:val="18"/>
              </w:rPr>
              <w:t>283.1-1415.5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Align w:val="center"/>
          </w:tcPr>
          <w:p>
            <w:pPr>
              <w:widowControl/>
              <w:spacing w:line="315" w:lineRule="atLeast"/>
              <w:jc w:val="center"/>
              <w:rPr>
                <w:rFonts w:hint="eastAsia" w:ascii="宋体" w:hAnsi="宋体" w:cs="宋体"/>
                <w:color w:val="000000"/>
                <w:kern w:val="0"/>
                <w:sz w:val="18"/>
                <w:szCs w:val="18"/>
              </w:rPr>
            </w:pPr>
            <w:r>
              <w:rPr>
                <w:rFonts w:ascii="宋体" w:hAnsi="宋体" w:cs="宋体"/>
                <w:color w:val="000000"/>
                <w:kern w:val="0"/>
                <w:sz w:val="18"/>
                <w:szCs w:val="18"/>
              </w:rPr>
              <w:t>基本医疗保险</w:t>
            </w:r>
          </w:p>
        </w:tc>
        <w:tc>
          <w:tcPr>
            <w:tcW w:w="1510"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3539-17694</w:t>
            </w:r>
          </w:p>
        </w:tc>
        <w:tc>
          <w:tcPr>
            <w:tcW w:w="1228"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（8.5+0.5）%</w:t>
            </w:r>
          </w:p>
        </w:tc>
        <w:tc>
          <w:tcPr>
            <w:tcW w:w="1831"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545" w:type="dxa"/>
            <w:vAlign w:val="center"/>
          </w:tcPr>
          <w:p>
            <w:pPr>
              <w:widowControl/>
              <w:spacing w:line="315" w:lineRule="atLeast"/>
              <w:jc w:val="center"/>
              <w:rPr>
                <w:rFonts w:ascii="宋体" w:hAnsi="宋体" w:cs="宋体"/>
                <w:color w:val="000000"/>
                <w:kern w:val="0"/>
                <w:sz w:val="18"/>
                <w:szCs w:val="18"/>
              </w:rPr>
            </w:pPr>
            <w:r>
              <w:rPr>
                <w:rFonts w:hint="eastAsia" w:ascii="宋体" w:hAnsi="宋体" w:cs="宋体"/>
                <w:color w:val="000000"/>
                <w:kern w:val="0"/>
                <w:sz w:val="18"/>
                <w:szCs w:val="18"/>
              </w:rPr>
              <w:t>318.5-1592.5</w:t>
            </w:r>
          </w:p>
        </w:tc>
        <w:tc>
          <w:tcPr>
            <w:tcW w:w="1560" w:type="dxa"/>
            <w:vAlign w:val="center"/>
          </w:tcPr>
          <w:p>
            <w:pPr>
              <w:widowControl/>
              <w:spacing w:line="315" w:lineRule="atLeast"/>
              <w:jc w:val="center"/>
              <w:rPr>
                <w:rFonts w:ascii="宋体" w:hAnsi="宋体" w:cs="宋体"/>
                <w:color w:val="000000"/>
                <w:kern w:val="0"/>
                <w:sz w:val="18"/>
                <w:szCs w:val="18"/>
              </w:rPr>
            </w:pPr>
            <w:r>
              <w:rPr>
                <w:rFonts w:hint="eastAsia" w:ascii="宋体" w:hAnsi="宋体" w:cs="宋体"/>
                <w:color w:val="000000"/>
                <w:kern w:val="0"/>
                <w:sz w:val="18"/>
                <w:szCs w:val="18"/>
              </w:rPr>
              <w:t>70.8-353.9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Align w:val="center"/>
          </w:tcPr>
          <w:p>
            <w:pPr>
              <w:widowControl/>
              <w:spacing w:line="315" w:lineRule="atLeast"/>
              <w:jc w:val="center"/>
              <w:rPr>
                <w:rFonts w:hint="eastAsia" w:ascii="宋体" w:hAnsi="宋体" w:cs="宋体"/>
                <w:color w:val="000000"/>
                <w:kern w:val="0"/>
                <w:sz w:val="18"/>
                <w:szCs w:val="18"/>
              </w:rPr>
            </w:pPr>
            <w:r>
              <w:rPr>
                <w:rFonts w:ascii="宋体" w:hAnsi="宋体" w:cs="宋体"/>
                <w:color w:val="000000"/>
                <w:kern w:val="0"/>
                <w:sz w:val="18"/>
                <w:szCs w:val="18"/>
              </w:rPr>
              <w:t>失业保险</w:t>
            </w:r>
          </w:p>
        </w:tc>
        <w:tc>
          <w:tcPr>
            <w:tcW w:w="1510"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3539-17694</w:t>
            </w:r>
          </w:p>
        </w:tc>
        <w:tc>
          <w:tcPr>
            <w:tcW w:w="1228"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0.5%</w:t>
            </w:r>
          </w:p>
        </w:tc>
        <w:tc>
          <w:tcPr>
            <w:tcW w:w="1831"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0.5%</w:t>
            </w:r>
          </w:p>
        </w:tc>
        <w:tc>
          <w:tcPr>
            <w:tcW w:w="1545" w:type="dxa"/>
            <w:vAlign w:val="center"/>
          </w:tcPr>
          <w:p>
            <w:pPr>
              <w:widowControl/>
              <w:spacing w:line="315" w:lineRule="atLeast"/>
              <w:jc w:val="center"/>
              <w:rPr>
                <w:rFonts w:ascii="宋体" w:hAnsi="宋体" w:cs="宋体"/>
                <w:color w:val="000000"/>
                <w:kern w:val="0"/>
                <w:sz w:val="18"/>
                <w:szCs w:val="18"/>
              </w:rPr>
            </w:pPr>
            <w:r>
              <w:rPr>
                <w:rFonts w:hint="eastAsia" w:ascii="宋体" w:hAnsi="宋体" w:cs="宋体"/>
                <w:color w:val="000000"/>
                <w:kern w:val="0"/>
                <w:sz w:val="18"/>
                <w:szCs w:val="18"/>
              </w:rPr>
              <w:t>17.7-88.5</w:t>
            </w:r>
          </w:p>
        </w:tc>
        <w:tc>
          <w:tcPr>
            <w:tcW w:w="1560"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17.7-88.5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Align w:val="center"/>
          </w:tcPr>
          <w:p>
            <w:pPr>
              <w:widowControl/>
              <w:spacing w:line="315" w:lineRule="atLeast"/>
              <w:jc w:val="center"/>
              <w:rPr>
                <w:rFonts w:hint="eastAsia" w:ascii="宋体" w:hAnsi="宋体" w:cs="宋体"/>
                <w:color w:val="000000"/>
                <w:kern w:val="0"/>
                <w:sz w:val="18"/>
                <w:szCs w:val="18"/>
              </w:rPr>
            </w:pPr>
            <w:r>
              <w:rPr>
                <w:rFonts w:ascii="宋体" w:hAnsi="宋体" w:cs="宋体"/>
                <w:color w:val="000000"/>
                <w:kern w:val="0"/>
                <w:sz w:val="18"/>
                <w:szCs w:val="18"/>
              </w:rPr>
              <w:t>生育保险</w:t>
            </w:r>
          </w:p>
        </w:tc>
        <w:tc>
          <w:tcPr>
            <w:tcW w:w="1510"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3539-17694</w:t>
            </w:r>
          </w:p>
        </w:tc>
        <w:tc>
          <w:tcPr>
            <w:tcW w:w="1228"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0.6%</w:t>
            </w:r>
          </w:p>
        </w:tc>
        <w:tc>
          <w:tcPr>
            <w:tcW w:w="1831"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不承担</w:t>
            </w:r>
          </w:p>
        </w:tc>
        <w:tc>
          <w:tcPr>
            <w:tcW w:w="1545" w:type="dxa"/>
            <w:vAlign w:val="center"/>
          </w:tcPr>
          <w:p>
            <w:pPr>
              <w:widowControl/>
              <w:spacing w:line="315" w:lineRule="atLeast"/>
              <w:jc w:val="center"/>
              <w:rPr>
                <w:rFonts w:ascii="宋体" w:hAnsi="宋体" w:cs="宋体"/>
                <w:color w:val="000000"/>
                <w:kern w:val="0"/>
                <w:sz w:val="18"/>
                <w:szCs w:val="18"/>
              </w:rPr>
            </w:pPr>
            <w:r>
              <w:rPr>
                <w:rFonts w:hint="eastAsia" w:ascii="宋体" w:hAnsi="宋体" w:cs="宋体"/>
                <w:color w:val="000000"/>
                <w:kern w:val="0"/>
                <w:sz w:val="18"/>
                <w:szCs w:val="18"/>
              </w:rPr>
              <w:t>21.2-106.2</w:t>
            </w:r>
          </w:p>
        </w:tc>
        <w:tc>
          <w:tcPr>
            <w:tcW w:w="1560"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10" w:type="dxa"/>
            <w:vAlign w:val="center"/>
          </w:tcPr>
          <w:p>
            <w:pPr>
              <w:widowControl/>
              <w:spacing w:line="315" w:lineRule="atLeast"/>
              <w:jc w:val="center"/>
              <w:rPr>
                <w:rFonts w:hint="eastAsia" w:ascii="宋体" w:hAnsi="宋体" w:cs="宋体"/>
                <w:color w:val="000000"/>
                <w:kern w:val="0"/>
                <w:sz w:val="18"/>
                <w:szCs w:val="18"/>
              </w:rPr>
            </w:pPr>
            <w:r>
              <w:rPr>
                <w:rFonts w:ascii="宋体" w:hAnsi="宋体" w:cs="宋体"/>
                <w:color w:val="000000"/>
                <w:kern w:val="0"/>
                <w:sz w:val="18"/>
                <w:szCs w:val="18"/>
              </w:rPr>
              <w:t>工伤保险</w:t>
            </w:r>
          </w:p>
        </w:tc>
        <w:tc>
          <w:tcPr>
            <w:tcW w:w="1510"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3539-17694</w:t>
            </w:r>
          </w:p>
        </w:tc>
        <w:tc>
          <w:tcPr>
            <w:tcW w:w="1228"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按行业分类</w:t>
            </w:r>
          </w:p>
        </w:tc>
        <w:tc>
          <w:tcPr>
            <w:tcW w:w="1831"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不承担</w:t>
            </w:r>
          </w:p>
        </w:tc>
        <w:tc>
          <w:tcPr>
            <w:tcW w:w="1545"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按行业分类</w:t>
            </w:r>
          </w:p>
        </w:tc>
        <w:tc>
          <w:tcPr>
            <w:tcW w:w="1560" w:type="dxa"/>
            <w:vAlign w:val="center"/>
          </w:tcPr>
          <w:p>
            <w:pPr>
              <w:widowControl/>
              <w:spacing w:line="315"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bl>
    <w:p>
      <w:pPr>
        <w:widowControl/>
        <w:spacing w:line="315" w:lineRule="atLeast"/>
        <w:rPr>
          <w:rFonts w:hint="eastAsia" w:ascii="宋体" w:hAnsi="宋体" w:cs="宋体"/>
          <w:color w:val="000000"/>
          <w:kern w:val="0"/>
          <w:sz w:val="18"/>
          <w:szCs w:val="18"/>
        </w:rPr>
      </w:pPr>
    </w:p>
    <w:p>
      <w:pPr>
        <w:widowControl/>
        <w:spacing w:line="315" w:lineRule="atLeast"/>
        <w:rPr>
          <w:rFonts w:ascii="宋体" w:hAnsi="宋体" w:cs="宋体"/>
          <w:color w:val="000000"/>
          <w:kern w:val="0"/>
          <w:sz w:val="18"/>
          <w:szCs w:val="18"/>
        </w:rPr>
      </w:pPr>
      <w:r>
        <w:rPr>
          <w:rFonts w:hint="eastAsia" w:ascii="仿宋_GB2312" w:hAnsi="仿宋" w:eastAsia="仿宋_GB2312" w:cs="宋体"/>
          <w:color w:val="000000"/>
          <w:kern w:val="0"/>
          <w:sz w:val="28"/>
          <w:szCs w:val="28"/>
        </w:rPr>
        <w:t xml:space="preserve">表二：适用于个体工商户       </w:t>
      </w:r>
      <w:r>
        <w:rPr>
          <w:rFonts w:hint="eastAsia" w:ascii="宋体" w:hAnsi="宋体" w:cs="宋体"/>
          <w:b/>
          <w:color w:val="000000"/>
          <w:kern w:val="0"/>
          <w:szCs w:val="21"/>
        </w:rPr>
        <w:t xml:space="preserve">                                      </w:t>
      </w:r>
      <w:r>
        <w:rPr>
          <w:rFonts w:hint="eastAsia" w:ascii="宋体" w:hAnsi="宋体" w:cs="宋体"/>
          <w:color w:val="000000"/>
          <w:kern w:val="0"/>
          <w:sz w:val="18"/>
          <w:szCs w:val="18"/>
        </w:rPr>
        <w:t>单位：元</w:t>
      </w:r>
    </w:p>
    <w:tbl>
      <w:tblPr>
        <w:tblStyle w:val="3"/>
        <w:tblW w:w="9087" w:type="dxa"/>
        <w:tblCellSpacing w:w="0" w:type="dxa"/>
        <w:tblInd w:w="0" w:type="dxa"/>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
      <w:tblGrid>
        <w:gridCol w:w="1465"/>
        <w:gridCol w:w="1385"/>
        <w:gridCol w:w="1418"/>
        <w:gridCol w:w="1843"/>
        <w:gridCol w:w="1559"/>
        <w:gridCol w:w="1417"/>
      </w:tblGrid>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Ex>
        <w:trPr>
          <w:trHeight w:val="525" w:hRule="exact"/>
          <w:tblCellSpacing w:w="0" w:type="dxa"/>
        </w:trPr>
        <w:tc>
          <w:tcPr>
            <w:tcW w:w="1465"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险种及类型</w:t>
            </w:r>
          </w:p>
        </w:tc>
        <w:tc>
          <w:tcPr>
            <w:tcW w:w="1385"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缴费基数</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下限与上限</w:t>
            </w:r>
          </w:p>
        </w:tc>
        <w:tc>
          <w:tcPr>
            <w:tcW w:w="3261"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缴费费率</w:t>
            </w:r>
          </w:p>
        </w:tc>
        <w:tc>
          <w:tcPr>
            <w:tcW w:w="2976"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月缴费金额</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最低与最高</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Ex>
        <w:trPr>
          <w:trHeight w:val="397" w:hRule="exact"/>
          <w:tblCellSpacing w:w="0" w:type="dxa"/>
        </w:trPr>
        <w:tc>
          <w:tcPr>
            <w:tcW w:w="1465" w:type="dxa"/>
            <w:vMerge w:val="continue"/>
            <w:vAlign w:val="center"/>
          </w:tcPr>
          <w:p>
            <w:pPr>
              <w:widowControl/>
              <w:jc w:val="left"/>
              <w:rPr>
                <w:rFonts w:ascii="宋体" w:hAnsi="宋体" w:cs="宋体"/>
                <w:color w:val="000000"/>
                <w:kern w:val="0"/>
                <w:sz w:val="18"/>
                <w:szCs w:val="18"/>
              </w:rPr>
            </w:pPr>
          </w:p>
        </w:tc>
        <w:tc>
          <w:tcPr>
            <w:tcW w:w="1385" w:type="dxa"/>
            <w:vMerge w:val="continue"/>
            <w:vAlign w:val="center"/>
          </w:tcPr>
          <w:p>
            <w:pPr>
              <w:widowControl/>
              <w:jc w:val="left"/>
              <w:rPr>
                <w:rFonts w:ascii="宋体" w:hAnsi="宋体" w:cs="宋体"/>
                <w:color w:val="000000"/>
                <w:kern w:val="0"/>
                <w:sz w:val="18"/>
                <w:szCs w:val="18"/>
              </w:rPr>
            </w:pPr>
          </w:p>
        </w:tc>
        <w:tc>
          <w:tcPr>
            <w:tcW w:w="14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单位标准</w:t>
            </w:r>
          </w:p>
        </w:tc>
        <w:tc>
          <w:tcPr>
            <w:tcW w:w="1843"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个人标准</w:t>
            </w:r>
          </w:p>
        </w:tc>
        <w:tc>
          <w:tcPr>
            <w:tcW w:w="155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14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个人</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Ex>
        <w:trPr>
          <w:trHeight w:val="397" w:hRule="exact"/>
          <w:tblCellSpacing w:w="0" w:type="dxa"/>
        </w:trPr>
        <w:tc>
          <w:tcPr>
            <w:tcW w:w="146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基本养老保险</w:t>
            </w:r>
          </w:p>
        </w:tc>
        <w:tc>
          <w:tcPr>
            <w:tcW w:w="138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3539—17694</w:t>
            </w:r>
          </w:p>
        </w:tc>
        <w:tc>
          <w:tcPr>
            <w:tcW w:w="14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843"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55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353.9-1769.4</w:t>
            </w:r>
          </w:p>
        </w:tc>
        <w:tc>
          <w:tcPr>
            <w:tcW w:w="14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283.1-1415.5</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Ex>
        <w:trPr>
          <w:trHeight w:val="397" w:hRule="exact"/>
          <w:tblCellSpacing w:w="0" w:type="dxa"/>
        </w:trPr>
        <w:tc>
          <w:tcPr>
            <w:tcW w:w="146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基本医疗保险</w:t>
            </w:r>
          </w:p>
        </w:tc>
        <w:tc>
          <w:tcPr>
            <w:tcW w:w="138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3539—17694</w:t>
            </w:r>
          </w:p>
        </w:tc>
        <w:tc>
          <w:tcPr>
            <w:tcW w:w="14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(8.5+0.5)%</w:t>
            </w:r>
          </w:p>
        </w:tc>
        <w:tc>
          <w:tcPr>
            <w:tcW w:w="1843"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55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318.5-1592.5</w:t>
            </w:r>
          </w:p>
        </w:tc>
        <w:tc>
          <w:tcPr>
            <w:tcW w:w="14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70.8-353.9</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Ex>
        <w:trPr>
          <w:trHeight w:val="397" w:hRule="exact"/>
          <w:tblCellSpacing w:w="0" w:type="dxa"/>
        </w:trPr>
        <w:tc>
          <w:tcPr>
            <w:tcW w:w="146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失业保险</w:t>
            </w:r>
          </w:p>
        </w:tc>
        <w:tc>
          <w:tcPr>
            <w:tcW w:w="1385" w:type="dxa"/>
            <w:vAlign w:val="top"/>
          </w:tcPr>
          <w:p>
            <w:pPr>
              <w:rPr>
                <w:color w:val="000000"/>
              </w:rPr>
            </w:pPr>
            <w:r>
              <w:rPr>
                <w:rFonts w:hint="eastAsia" w:ascii="宋体" w:hAnsi="宋体" w:cs="宋体"/>
                <w:color w:val="000000"/>
                <w:kern w:val="0"/>
                <w:sz w:val="18"/>
                <w:szCs w:val="18"/>
              </w:rPr>
              <w:t xml:space="preserve">  3539—17694</w:t>
            </w:r>
          </w:p>
        </w:tc>
        <w:tc>
          <w:tcPr>
            <w:tcW w:w="14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1843"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155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17.7-88.5</w:t>
            </w:r>
          </w:p>
        </w:tc>
        <w:tc>
          <w:tcPr>
            <w:tcW w:w="14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17.7-88.5</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Ex>
        <w:trPr>
          <w:trHeight w:val="397" w:hRule="exact"/>
          <w:tblCellSpacing w:w="0" w:type="dxa"/>
        </w:trPr>
        <w:tc>
          <w:tcPr>
            <w:tcW w:w="146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生育保险</w:t>
            </w:r>
          </w:p>
        </w:tc>
        <w:tc>
          <w:tcPr>
            <w:tcW w:w="1385" w:type="dxa"/>
            <w:vAlign w:val="top"/>
          </w:tcPr>
          <w:p>
            <w:pPr>
              <w:rPr>
                <w:color w:val="000000"/>
              </w:rPr>
            </w:pPr>
            <w:r>
              <w:rPr>
                <w:rFonts w:hint="eastAsia" w:ascii="宋体" w:hAnsi="宋体" w:cs="宋体"/>
                <w:color w:val="000000"/>
                <w:kern w:val="0"/>
                <w:sz w:val="18"/>
                <w:szCs w:val="18"/>
              </w:rPr>
              <w:t xml:space="preserve">  3539—17694</w:t>
            </w:r>
          </w:p>
        </w:tc>
        <w:tc>
          <w:tcPr>
            <w:tcW w:w="14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w:t>
            </w:r>
          </w:p>
        </w:tc>
        <w:tc>
          <w:tcPr>
            <w:tcW w:w="1843"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不承担</w:t>
            </w:r>
          </w:p>
        </w:tc>
        <w:tc>
          <w:tcPr>
            <w:tcW w:w="155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24.8-123.9</w:t>
            </w:r>
          </w:p>
        </w:tc>
        <w:tc>
          <w:tcPr>
            <w:tcW w:w="14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Ex>
        <w:trPr>
          <w:trHeight w:val="397" w:hRule="exact"/>
          <w:tblCellSpacing w:w="0" w:type="dxa"/>
        </w:trPr>
        <w:tc>
          <w:tcPr>
            <w:tcW w:w="146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工伤保险</w:t>
            </w:r>
          </w:p>
        </w:tc>
        <w:tc>
          <w:tcPr>
            <w:tcW w:w="1385" w:type="dxa"/>
            <w:vAlign w:val="top"/>
          </w:tcPr>
          <w:p>
            <w:pPr>
              <w:rPr>
                <w:color w:val="000000"/>
              </w:rPr>
            </w:pPr>
            <w:r>
              <w:rPr>
                <w:rFonts w:hint="eastAsia" w:ascii="宋体" w:hAnsi="宋体" w:cs="宋体"/>
                <w:color w:val="000000"/>
                <w:kern w:val="0"/>
                <w:sz w:val="18"/>
                <w:szCs w:val="18"/>
              </w:rPr>
              <w:t xml:space="preserve">  3539—17694</w:t>
            </w:r>
          </w:p>
        </w:tc>
        <w:tc>
          <w:tcPr>
            <w:tcW w:w="1418"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按行业分类</w:t>
            </w:r>
          </w:p>
        </w:tc>
        <w:tc>
          <w:tcPr>
            <w:tcW w:w="1843"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不承担</w:t>
            </w:r>
          </w:p>
        </w:tc>
        <w:tc>
          <w:tcPr>
            <w:tcW w:w="155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按行业分类</w:t>
            </w:r>
          </w:p>
        </w:tc>
        <w:tc>
          <w:tcPr>
            <w:tcW w:w="141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bl>
    <w:p>
      <w:pPr>
        <w:widowControl/>
        <w:spacing w:line="315" w:lineRule="atLeast"/>
        <w:jc w:val="left"/>
        <w:rPr>
          <w:rFonts w:hint="eastAsia" w:ascii="仿宋_GB2312" w:hAnsi="仿宋" w:eastAsia="仿宋_GB2312" w:cs="宋体"/>
          <w:color w:val="000000"/>
          <w:kern w:val="0"/>
          <w:sz w:val="28"/>
          <w:szCs w:val="28"/>
        </w:rPr>
      </w:pPr>
    </w:p>
    <w:p>
      <w:pPr>
        <w:widowControl/>
        <w:spacing w:line="315" w:lineRule="atLeast"/>
        <w:jc w:val="left"/>
        <w:rPr>
          <w:rFonts w:ascii="宋体" w:hAnsi="宋体" w:cs="宋体"/>
          <w:color w:val="000000"/>
          <w:kern w:val="0"/>
          <w:sz w:val="18"/>
          <w:szCs w:val="18"/>
        </w:rPr>
      </w:pPr>
      <w:r>
        <w:rPr>
          <w:rFonts w:hint="eastAsia" w:ascii="仿宋_GB2312" w:hAnsi="仿宋" w:eastAsia="仿宋_GB2312" w:cs="宋体"/>
          <w:color w:val="000000"/>
          <w:kern w:val="0"/>
          <w:sz w:val="28"/>
          <w:szCs w:val="28"/>
        </w:rPr>
        <w:t xml:space="preserve">表三：适用于灵活就业人员  </w:t>
      </w:r>
      <w:r>
        <w:rPr>
          <w:rFonts w:hint="eastAsia" w:ascii="宋体" w:hAnsi="宋体" w:cs="宋体"/>
          <w:b/>
          <w:color w:val="000000"/>
          <w:kern w:val="0"/>
          <w:szCs w:val="21"/>
        </w:rPr>
        <w:t xml:space="preserve">             </w:t>
      </w:r>
      <w:r>
        <w:rPr>
          <w:rFonts w:hint="eastAsia" w:ascii="宋体" w:hAnsi="宋体" w:cs="宋体"/>
          <w:color w:val="000000"/>
          <w:kern w:val="0"/>
          <w:sz w:val="18"/>
          <w:szCs w:val="18"/>
        </w:rPr>
        <w:t xml:space="preserve">                                  单位：元</w:t>
      </w:r>
    </w:p>
    <w:tbl>
      <w:tblPr>
        <w:tblStyle w:val="3"/>
        <w:tblW w:w="9087" w:type="dxa"/>
        <w:tblCellSpacing w:w="0" w:type="dxa"/>
        <w:tblInd w:w="0" w:type="dxa"/>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
      <w:tblGrid>
        <w:gridCol w:w="2425"/>
        <w:gridCol w:w="1843"/>
        <w:gridCol w:w="1843"/>
        <w:gridCol w:w="2976"/>
      </w:tblGrid>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Ex>
        <w:trPr>
          <w:trHeight w:val="587" w:hRule="exact"/>
          <w:tblCellSpacing w:w="0" w:type="dxa"/>
        </w:trPr>
        <w:tc>
          <w:tcPr>
            <w:tcW w:w="2425" w:type="dxa"/>
            <w:vAlign w:val="center"/>
          </w:tcPr>
          <w:p>
            <w:pPr>
              <w:widowControl/>
              <w:jc w:val="center"/>
              <w:rPr>
                <w:rFonts w:ascii="宋体" w:hAnsi="宋体" w:cs="宋体"/>
                <w:kern w:val="0"/>
                <w:sz w:val="18"/>
                <w:szCs w:val="18"/>
              </w:rPr>
            </w:pPr>
            <w:r>
              <w:rPr>
                <w:rFonts w:hint="eastAsia" w:ascii="宋体" w:hAnsi="宋体" w:cs="宋体"/>
                <w:kern w:val="0"/>
                <w:sz w:val="18"/>
                <w:szCs w:val="18"/>
              </w:rPr>
              <w:t>参保险种及类型</w:t>
            </w:r>
          </w:p>
        </w:tc>
        <w:tc>
          <w:tcPr>
            <w:tcW w:w="1843" w:type="dxa"/>
            <w:vAlign w:val="center"/>
          </w:tcPr>
          <w:p>
            <w:pPr>
              <w:widowControl/>
              <w:jc w:val="center"/>
              <w:rPr>
                <w:rFonts w:ascii="宋体" w:hAnsi="宋体" w:cs="宋体"/>
                <w:kern w:val="0"/>
                <w:sz w:val="18"/>
                <w:szCs w:val="18"/>
              </w:rPr>
            </w:pPr>
            <w:r>
              <w:rPr>
                <w:rFonts w:hint="eastAsia" w:ascii="宋体" w:hAnsi="宋体" w:cs="宋体"/>
                <w:kern w:val="0"/>
                <w:sz w:val="18"/>
                <w:szCs w:val="18"/>
              </w:rPr>
              <w:t>缴费基数</w:t>
            </w:r>
          </w:p>
          <w:p>
            <w:pPr>
              <w:widowControl/>
              <w:jc w:val="center"/>
              <w:rPr>
                <w:rFonts w:ascii="宋体" w:hAnsi="宋体" w:cs="宋体"/>
                <w:kern w:val="0"/>
                <w:sz w:val="18"/>
                <w:szCs w:val="18"/>
              </w:rPr>
            </w:pPr>
            <w:r>
              <w:rPr>
                <w:rFonts w:hint="eastAsia" w:ascii="宋体" w:hAnsi="宋体" w:cs="宋体"/>
                <w:kern w:val="0"/>
                <w:sz w:val="18"/>
                <w:szCs w:val="18"/>
              </w:rPr>
              <w:t>下限与上限</w:t>
            </w:r>
          </w:p>
        </w:tc>
        <w:tc>
          <w:tcPr>
            <w:tcW w:w="1843" w:type="dxa"/>
            <w:vAlign w:val="center"/>
          </w:tcPr>
          <w:p>
            <w:pPr>
              <w:widowControl/>
              <w:jc w:val="center"/>
              <w:rPr>
                <w:rFonts w:ascii="宋体" w:hAnsi="宋体" w:cs="宋体"/>
                <w:kern w:val="0"/>
                <w:sz w:val="18"/>
                <w:szCs w:val="18"/>
              </w:rPr>
            </w:pPr>
            <w:r>
              <w:rPr>
                <w:rFonts w:hint="eastAsia" w:ascii="宋体" w:hAnsi="宋体" w:cs="宋体"/>
                <w:kern w:val="0"/>
                <w:sz w:val="18"/>
                <w:szCs w:val="18"/>
              </w:rPr>
              <w:t>缴费费率</w:t>
            </w:r>
          </w:p>
        </w:tc>
        <w:tc>
          <w:tcPr>
            <w:tcW w:w="2976" w:type="dxa"/>
            <w:vAlign w:val="center"/>
          </w:tcPr>
          <w:p>
            <w:pPr>
              <w:widowControl/>
              <w:jc w:val="center"/>
              <w:rPr>
                <w:rFonts w:ascii="宋体" w:hAnsi="宋体" w:cs="宋体"/>
                <w:kern w:val="0"/>
                <w:sz w:val="18"/>
                <w:szCs w:val="18"/>
              </w:rPr>
            </w:pPr>
            <w:r>
              <w:rPr>
                <w:rFonts w:hint="eastAsia" w:ascii="宋体" w:hAnsi="宋体" w:cs="宋体"/>
                <w:kern w:val="0"/>
                <w:sz w:val="18"/>
                <w:szCs w:val="18"/>
              </w:rPr>
              <w:t>月缴费金额</w:t>
            </w:r>
          </w:p>
          <w:p>
            <w:pPr>
              <w:widowControl/>
              <w:jc w:val="center"/>
              <w:rPr>
                <w:rFonts w:ascii="宋体" w:hAnsi="宋体" w:cs="宋体"/>
                <w:kern w:val="0"/>
                <w:sz w:val="18"/>
                <w:szCs w:val="18"/>
              </w:rPr>
            </w:pPr>
            <w:r>
              <w:rPr>
                <w:rFonts w:hint="eastAsia" w:ascii="宋体" w:hAnsi="宋体" w:cs="宋体"/>
                <w:kern w:val="0"/>
                <w:sz w:val="18"/>
                <w:szCs w:val="18"/>
              </w:rPr>
              <w:t>最低与最高</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Ex>
        <w:trPr>
          <w:trHeight w:val="397" w:hRule="exact"/>
          <w:tblCellSpacing w:w="0" w:type="dxa"/>
        </w:trPr>
        <w:tc>
          <w:tcPr>
            <w:tcW w:w="2425" w:type="dxa"/>
            <w:vAlign w:val="center"/>
          </w:tcPr>
          <w:p>
            <w:pPr>
              <w:widowControl/>
              <w:jc w:val="center"/>
              <w:rPr>
                <w:rFonts w:ascii="宋体" w:hAnsi="宋体" w:cs="宋体"/>
                <w:kern w:val="0"/>
                <w:sz w:val="18"/>
                <w:szCs w:val="18"/>
              </w:rPr>
            </w:pPr>
            <w:r>
              <w:rPr>
                <w:rFonts w:hint="eastAsia" w:ascii="宋体" w:hAnsi="宋体" w:cs="宋体"/>
                <w:kern w:val="0"/>
                <w:sz w:val="18"/>
                <w:szCs w:val="18"/>
              </w:rPr>
              <w:t>基本养老保险</w:t>
            </w:r>
          </w:p>
        </w:tc>
        <w:tc>
          <w:tcPr>
            <w:tcW w:w="1843" w:type="dxa"/>
            <w:vAlign w:val="center"/>
          </w:tcPr>
          <w:p>
            <w:pPr>
              <w:widowControl/>
              <w:jc w:val="center"/>
              <w:rPr>
                <w:rFonts w:ascii="宋体" w:hAnsi="宋体" w:cs="宋体"/>
                <w:kern w:val="0"/>
                <w:sz w:val="18"/>
                <w:szCs w:val="18"/>
              </w:rPr>
            </w:pPr>
            <w:r>
              <w:rPr>
                <w:rFonts w:hint="eastAsia" w:ascii="宋体" w:hAnsi="宋体" w:cs="宋体"/>
                <w:kern w:val="0"/>
                <w:sz w:val="18"/>
                <w:szCs w:val="18"/>
              </w:rPr>
              <w:t>3539—17694</w:t>
            </w:r>
          </w:p>
        </w:tc>
        <w:tc>
          <w:tcPr>
            <w:tcW w:w="1843" w:type="dxa"/>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2976" w:type="dxa"/>
            <w:vAlign w:val="center"/>
          </w:tcPr>
          <w:p>
            <w:pPr>
              <w:widowControl/>
              <w:jc w:val="center"/>
              <w:rPr>
                <w:rFonts w:ascii="宋体" w:hAnsi="宋体" w:cs="宋体"/>
                <w:kern w:val="0"/>
                <w:sz w:val="18"/>
                <w:szCs w:val="18"/>
              </w:rPr>
            </w:pPr>
            <w:r>
              <w:rPr>
                <w:rFonts w:hint="eastAsia" w:ascii="宋体" w:hAnsi="宋体" w:cs="宋体"/>
                <w:kern w:val="0"/>
                <w:sz w:val="18"/>
                <w:szCs w:val="18"/>
              </w:rPr>
              <w:t>637—3184.9</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Ex>
        <w:trPr>
          <w:trHeight w:val="397" w:hRule="exact"/>
          <w:tblCellSpacing w:w="0" w:type="dxa"/>
        </w:trPr>
        <w:tc>
          <w:tcPr>
            <w:tcW w:w="2425" w:type="dxa"/>
            <w:vAlign w:val="center"/>
          </w:tcPr>
          <w:p>
            <w:pPr>
              <w:widowControl/>
              <w:jc w:val="center"/>
              <w:rPr>
                <w:rFonts w:ascii="宋体" w:hAnsi="宋体" w:cs="宋体"/>
                <w:kern w:val="0"/>
                <w:sz w:val="18"/>
                <w:szCs w:val="18"/>
              </w:rPr>
            </w:pPr>
            <w:r>
              <w:rPr>
                <w:rFonts w:hint="eastAsia" w:ascii="宋体" w:hAnsi="宋体" w:cs="宋体"/>
                <w:kern w:val="0"/>
                <w:sz w:val="18"/>
                <w:szCs w:val="18"/>
              </w:rPr>
              <w:t>基本医疗保险</w:t>
            </w:r>
          </w:p>
        </w:tc>
        <w:tc>
          <w:tcPr>
            <w:tcW w:w="1843" w:type="dxa"/>
            <w:vAlign w:val="center"/>
          </w:tcPr>
          <w:p>
            <w:pPr>
              <w:widowControl/>
              <w:jc w:val="center"/>
              <w:rPr>
                <w:rFonts w:ascii="宋体" w:hAnsi="宋体" w:cs="宋体"/>
                <w:kern w:val="0"/>
                <w:sz w:val="18"/>
                <w:szCs w:val="18"/>
              </w:rPr>
            </w:pPr>
            <w:r>
              <w:rPr>
                <w:rFonts w:hint="eastAsia" w:ascii="宋体" w:hAnsi="宋体" w:cs="宋体"/>
                <w:kern w:val="0"/>
                <w:sz w:val="18"/>
                <w:szCs w:val="18"/>
              </w:rPr>
              <w:t>3539</w:t>
            </w:r>
          </w:p>
        </w:tc>
        <w:tc>
          <w:tcPr>
            <w:tcW w:w="1843" w:type="dxa"/>
            <w:vAlign w:val="center"/>
          </w:tcPr>
          <w:p>
            <w:pPr>
              <w:widowControl/>
              <w:jc w:val="center"/>
              <w:rPr>
                <w:rFonts w:ascii="宋体" w:hAnsi="宋体" w:cs="宋体"/>
                <w:kern w:val="0"/>
                <w:sz w:val="18"/>
                <w:szCs w:val="18"/>
              </w:rPr>
            </w:pPr>
            <w:r>
              <w:rPr>
                <w:rFonts w:hint="eastAsia" w:ascii="宋体" w:hAnsi="宋体" w:cs="宋体"/>
                <w:kern w:val="0"/>
                <w:sz w:val="18"/>
                <w:szCs w:val="18"/>
              </w:rPr>
              <w:t>(10.5+0.5)%</w:t>
            </w:r>
          </w:p>
        </w:tc>
        <w:tc>
          <w:tcPr>
            <w:tcW w:w="2976" w:type="dxa"/>
            <w:vAlign w:val="center"/>
          </w:tcPr>
          <w:p>
            <w:pPr>
              <w:widowControl/>
              <w:jc w:val="center"/>
              <w:rPr>
                <w:rFonts w:ascii="宋体" w:hAnsi="宋体" w:cs="宋体"/>
                <w:kern w:val="0"/>
                <w:sz w:val="18"/>
                <w:szCs w:val="18"/>
              </w:rPr>
            </w:pPr>
            <w:r>
              <w:rPr>
                <w:rFonts w:hint="eastAsia" w:ascii="宋体" w:hAnsi="宋体" w:cs="宋体"/>
                <w:kern w:val="0"/>
                <w:sz w:val="18"/>
                <w:szCs w:val="18"/>
              </w:rPr>
              <w:t>389.3</w:t>
            </w:r>
          </w:p>
        </w:tc>
      </w:tr>
      <w:tr>
        <w:tblPrEx>
          <w:tblBorders>
            <w:top w:val="outset" w:color="000000" w:sz="2" w:space="0"/>
            <w:left w:val="outset" w:color="000000" w:sz="2" w:space="0"/>
            <w:bottom w:val="outset" w:color="000000" w:sz="2" w:space="0"/>
            <w:right w:val="outset" w:color="000000" w:sz="2" w:space="0"/>
            <w:insideH w:val="outset" w:color="000000" w:sz="2" w:space="0"/>
            <w:insideV w:val="outset" w:color="000000" w:sz="2" w:space="0"/>
          </w:tblBorders>
          <w:tblLayout w:type="fixed"/>
          <w:tblCellMar>
            <w:top w:w="0" w:type="dxa"/>
            <w:left w:w="0" w:type="dxa"/>
            <w:bottom w:w="0" w:type="dxa"/>
            <w:right w:w="0" w:type="dxa"/>
          </w:tblCellMar>
        </w:tblPrEx>
        <w:trPr>
          <w:trHeight w:val="397" w:hRule="exact"/>
          <w:tblCellSpacing w:w="0" w:type="dxa"/>
        </w:trPr>
        <w:tc>
          <w:tcPr>
            <w:tcW w:w="2425" w:type="dxa"/>
            <w:vAlign w:val="center"/>
          </w:tcPr>
          <w:p>
            <w:pPr>
              <w:widowControl/>
              <w:jc w:val="center"/>
              <w:rPr>
                <w:rFonts w:ascii="宋体" w:hAnsi="宋体" w:cs="宋体"/>
                <w:kern w:val="0"/>
                <w:sz w:val="18"/>
                <w:szCs w:val="18"/>
              </w:rPr>
            </w:pPr>
            <w:r>
              <w:rPr>
                <w:rFonts w:hint="eastAsia" w:ascii="宋体" w:hAnsi="宋体" w:cs="宋体"/>
                <w:kern w:val="0"/>
                <w:sz w:val="18"/>
                <w:szCs w:val="18"/>
              </w:rPr>
              <w:t>住院医疗保险</w:t>
            </w:r>
          </w:p>
        </w:tc>
        <w:tc>
          <w:tcPr>
            <w:tcW w:w="1843" w:type="dxa"/>
            <w:vAlign w:val="center"/>
          </w:tcPr>
          <w:p>
            <w:pPr>
              <w:widowControl/>
              <w:jc w:val="center"/>
              <w:rPr>
                <w:rFonts w:ascii="宋体" w:hAnsi="宋体" w:cs="宋体"/>
                <w:kern w:val="0"/>
                <w:sz w:val="18"/>
                <w:szCs w:val="18"/>
              </w:rPr>
            </w:pPr>
            <w:r>
              <w:rPr>
                <w:rFonts w:hint="eastAsia" w:ascii="宋体" w:hAnsi="宋体" w:cs="宋体"/>
                <w:kern w:val="0"/>
                <w:sz w:val="18"/>
                <w:szCs w:val="18"/>
              </w:rPr>
              <w:t>3539</w:t>
            </w:r>
          </w:p>
        </w:tc>
        <w:tc>
          <w:tcPr>
            <w:tcW w:w="1843" w:type="dxa"/>
            <w:vAlign w:val="center"/>
          </w:tcPr>
          <w:p>
            <w:pPr>
              <w:widowControl/>
              <w:jc w:val="center"/>
              <w:rPr>
                <w:rFonts w:ascii="宋体" w:hAnsi="宋体" w:cs="宋体"/>
                <w:kern w:val="0"/>
                <w:sz w:val="18"/>
                <w:szCs w:val="18"/>
              </w:rPr>
            </w:pPr>
            <w:r>
              <w:rPr>
                <w:rFonts w:hint="eastAsia" w:ascii="宋体" w:hAnsi="宋体" w:cs="宋体"/>
                <w:kern w:val="0"/>
                <w:sz w:val="18"/>
                <w:szCs w:val="18"/>
              </w:rPr>
              <w:t>(4.5+1)%</w:t>
            </w:r>
          </w:p>
        </w:tc>
        <w:tc>
          <w:tcPr>
            <w:tcW w:w="2976" w:type="dxa"/>
            <w:vAlign w:val="center"/>
          </w:tcPr>
          <w:p>
            <w:pPr>
              <w:widowControl/>
              <w:jc w:val="center"/>
              <w:rPr>
                <w:rFonts w:ascii="宋体" w:hAnsi="宋体" w:cs="宋体"/>
                <w:kern w:val="0"/>
                <w:sz w:val="18"/>
                <w:szCs w:val="18"/>
              </w:rPr>
            </w:pPr>
            <w:r>
              <w:rPr>
                <w:rFonts w:hint="eastAsia" w:ascii="宋体" w:hAnsi="宋体" w:cs="宋体"/>
                <w:kern w:val="0"/>
                <w:sz w:val="18"/>
                <w:szCs w:val="18"/>
              </w:rPr>
              <w:t>194.7</w:t>
            </w:r>
          </w:p>
        </w:tc>
      </w:tr>
    </w:tbl>
    <w:p>
      <w:pPr>
        <w:widowControl/>
        <w:spacing w:line="315" w:lineRule="atLeast"/>
        <w:jc w:val="left"/>
        <w:rPr>
          <w:rFonts w:hint="eastAsia" w:ascii="仿宋_GB2312" w:hAnsi="仿宋" w:eastAsia="仿宋_GB2312" w:cs="宋体"/>
          <w:color w:val="000000"/>
          <w:kern w:val="0"/>
          <w:sz w:val="28"/>
          <w:szCs w:val="28"/>
        </w:rPr>
      </w:pPr>
    </w:p>
    <w:p>
      <w:pPr>
        <w:widowControl/>
        <w:spacing w:line="315" w:lineRule="atLeast"/>
        <w:jc w:val="left"/>
        <w:rPr>
          <w:rFonts w:hint="eastAsia" w:ascii="仿宋_GB2312" w:hAnsi="仿宋" w:eastAsia="仿宋_GB2312"/>
          <w:bCs/>
          <w:color w:val="000000"/>
          <w:sz w:val="28"/>
          <w:szCs w:val="28"/>
        </w:rPr>
      </w:pPr>
      <w:r>
        <w:rPr>
          <w:rFonts w:hint="eastAsia" w:ascii="仿宋_GB2312" w:hAnsi="仿宋" w:eastAsia="仿宋_GB2312" w:cs="宋体"/>
          <w:color w:val="000000"/>
          <w:kern w:val="0"/>
          <w:sz w:val="28"/>
          <w:szCs w:val="28"/>
        </w:rPr>
        <w:t>表四：</w:t>
      </w:r>
      <w:r>
        <w:rPr>
          <w:rFonts w:hint="eastAsia" w:ascii="仿宋_GB2312" w:hAnsi="仿宋" w:eastAsia="仿宋_GB2312"/>
          <w:bCs/>
          <w:color w:val="000000"/>
          <w:sz w:val="28"/>
          <w:szCs w:val="28"/>
        </w:rPr>
        <w:t>工伤保险费率及费率浮动表</w:t>
      </w:r>
    </w:p>
    <w:tbl>
      <w:tblPr>
        <w:tblStyle w:val="3"/>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789"/>
        <w:gridCol w:w="1299"/>
        <w:gridCol w:w="1260"/>
        <w:gridCol w:w="1260"/>
        <w:gridCol w:w="1440"/>
        <w:gridCol w:w="144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Ex>
        <w:trPr>
          <w:trHeight w:val="510" w:hRule="exact"/>
        </w:trPr>
        <w:tc>
          <w:tcPr>
            <w:tcW w:w="2088" w:type="dxa"/>
            <w:gridSpan w:val="2"/>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企业类别</w:t>
            </w:r>
          </w:p>
        </w:tc>
        <w:tc>
          <w:tcPr>
            <w:tcW w:w="1260" w:type="dxa"/>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下浮二档</w:t>
            </w:r>
          </w:p>
        </w:tc>
        <w:tc>
          <w:tcPr>
            <w:tcW w:w="1260" w:type="dxa"/>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下浮一档</w:t>
            </w:r>
          </w:p>
        </w:tc>
        <w:tc>
          <w:tcPr>
            <w:tcW w:w="1440" w:type="dxa"/>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基准费率</w:t>
            </w:r>
          </w:p>
        </w:tc>
        <w:tc>
          <w:tcPr>
            <w:tcW w:w="1440" w:type="dxa"/>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上浮一档</w:t>
            </w:r>
          </w:p>
        </w:tc>
        <w:tc>
          <w:tcPr>
            <w:tcW w:w="1440" w:type="dxa"/>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上浮二档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088" w:type="dxa"/>
            <w:gridSpan w:val="2"/>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一类</w:t>
            </w:r>
          </w:p>
        </w:tc>
        <w:tc>
          <w:tcPr>
            <w:tcW w:w="1260" w:type="dxa"/>
            <w:shd w:val="clear" w:color="auto" w:fill="FFFFFF"/>
            <w:vAlign w:val="center"/>
          </w:tcPr>
          <w:p>
            <w:pPr>
              <w:jc w:val="center"/>
              <w:rPr>
                <w:rFonts w:ascii="宋体" w:hAnsi="宋体"/>
                <w:color w:val="000000"/>
                <w:sz w:val="18"/>
                <w:szCs w:val="18"/>
              </w:rPr>
            </w:pPr>
          </w:p>
        </w:tc>
        <w:tc>
          <w:tcPr>
            <w:tcW w:w="1260" w:type="dxa"/>
            <w:shd w:val="clear" w:color="auto" w:fill="FFFFFF"/>
            <w:vAlign w:val="center"/>
          </w:tcPr>
          <w:p>
            <w:pPr>
              <w:jc w:val="center"/>
              <w:rPr>
                <w:rFonts w:ascii="宋体" w:hAnsi="宋体"/>
                <w:color w:val="000000"/>
                <w:sz w:val="18"/>
                <w:szCs w:val="18"/>
              </w:rPr>
            </w:pP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0.2%</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0.24%</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088" w:type="dxa"/>
            <w:gridSpan w:val="2"/>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二类</w:t>
            </w:r>
          </w:p>
        </w:tc>
        <w:tc>
          <w:tcPr>
            <w:tcW w:w="126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0.2%</w:t>
            </w:r>
          </w:p>
        </w:tc>
        <w:tc>
          <w:tcPr>
            <w:tcW w:w="126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0.32%</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0.4%</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0.48%</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088" w:type="dxa"/>
            <w:gridSpan w:val="2"/>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三类</w:t>
            </w:r>
          </w:p>
        </w:tc>
        <w:tc>
          <w:tcPr>
            <w:tcW w:w="126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0.35%</w:t>
            </w:r>
          </w:p>
        </w:tc>
        <w:tc>
          <w:tcPr>
            <w:tcW w:w="126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0.56%</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0.7%</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0.84%</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088" w:type="dxa"/>
            <w:gridSpan w:val="2"/>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四类</w:t>
            </w:r>
          </w:p>
        </w:tc>
        <w:tc>
          <w:tcPr>
            <w:tcW w:w="126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0.45%</w:t>
            </w:r>
          </w:p>
        </w:tc>
        <w:tc>
          <w:tcPr>
            <w:tcW w:w="126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0.72%</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0.9%</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1.08%</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54" w:hRule="exact"/>
        </w:trPr>
        <w:tc>
          <w:tcPr>
            <w:tcW w:w="2088" w:type="dxa"/>
            <w:gridSpan w:val="2"/>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五类</w:t>
            </w:r>
          </w:p>
        </w:tc>
        <w:tc>
          <w:tcPr>
            <w:tcW w:w="126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0.55%</w:t>
            </w:r>
          </w:p>
        </w:tc>
        <w:tc>
          <w:tcPr>
            <w:tcW w:w="126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0.88%</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1.1%</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1.32%</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088" w:type="dxa"/>
            <w:gridSpan w:val="2"/>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六类</w:t>
            </w:r>
          </w:p>
        </w:tc>
        <w:tc>
          <w:tcPr>
            <w:tcW w:w="126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0.65%</w:t>
            </w:r>
          </w:p>
        </w:tc>
        <w:tc>
          <w:tcPr>
            <w:tcW w:w="126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1.04%</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1.3%</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1.56%</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088" w:type="dxa"/>
            <w:gridSpan w:val="2"/>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七类</w:t>
            </w:r>
          </w:p>
        </w:tc>
        <w:tc>
          <w:tcPr>
            <w:tcW w:w="126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0.80%</w:t>
            </w:r>
          </w:p>
        </w:tc>
        <w:tc>
          <w:tcPr>
            <w:tcW w:w="126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1.28%</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1.6%</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1.92%</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088" w:type="dxa"/>
            <w:gridSpan w:val="2"/>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八类</w:t>
            </w:r>
          </w:p>
        </w:tc>
        <w:tc>
          <w:tcPr>
            <w:tcW w:w="126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0.95%</w:t>
            </w:r>
          </w:p>
        </w:tc>
        <w:tc>
          <w:tcPr>
            <w:tcW w:w="126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1.52%</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1.9%</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2.28%</w:t>
            </w:r>
          </w:p>
        </w:tc>
        <w:tc>
          <w:tcPr>
            <w:tcW w:w="1440" w:type="dxa"/>
            <w:shd w:val="clear" w:color="auto" w:fill="FFFFFF"/>
            <w:vAlign w:val="center"/>
          </w:tcPr>
          <w:p>
            <w:pPr>
              <w:jc w:val="center"/>
              <w:rPr>
                <w:rFonts w:ascii="宋体" w:hAnsi="宋体"/>
                <w:color w:val="000000"/>
                <w:sz w:val="18"/>
                <w:szCs w:val="18"/>
              </w:rPr>
            </w:pPr>
            <w:r>
              <w:rPr>
                <w:rFonts w:hint="eastAsia" w:ascii="宋体" w:hAnsi="宋体" w:cs="宋体"/>
                <w:color w:val="000000"/>
                <w:kern w:val="0"/>
                <w:sz w:val="18"/>
                <w:szCs w:val="18"/>
              </w:rPr>
              <w:t>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789" w:type="dxa"/>
            <w:vMerge w:val="restart"/>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浮动条件</w:t>
            </w:r>
          </w:p>
        </w:tc>
        <w:tc>
          <w:tcPr>
            <w:tcW w:w="1299" w:type="dxa"/>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收支比例（X）</w:t>
            </w:r>
          </w:p>
        </w:tc>
        <w:tc>
          <w:tcPr>
            <w:tcW w:w="1260" w:type="dxa"/>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X＜50%</w:t>
            </w:r>
          </w:p>
        </w:tc>
        <w:tc>
          <w:tcPr>
            <w:tcW w:w="1260" w:type="dxa"/>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50%≤X＜80%</w:t>
            </w:r>
          </w:p>
        </w:tc>
        <w:tc>
          <w:tcPr>
            <w:tcW w:w="1440" w:type="dxa"/>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80%≤X＜120%</w:t>
            </w:r>
          </w:p>
        </w:tc>
        <w:tc>
          <w:tcPr>
            <w:tcW w:w="1440" w:type="dxa"/>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120%≤X＜150%</w:t>
            </w:r>
          </w:p>
        </w:tc>
        <w:tc>
          <w:tcPr>
            <w:tcW w:w="1440" w:type="dxa"/>
            <w:shd w:val="clear" w:color="auto" w:fill="FFFFFF"/>
            <w:vAlign w:val="center"/>
          </w:tcPr>
          <w:p>
            <w:pPr>
              <w:widowControl/>
              <w:jc w:val="center"/>
              <w:rPr>
                <w:rFonts w:ascii="宋体" w:hAnsi="宋体"/>
                <w:color w:val="000000"/>
                <w:sz w:val="18"/>
                <w:szCs w:val="18"/>
              </w:rPr>
            </w:pPr>
            <w:r>
              <w:rPr>
                <w:rFonts w:hint="eastAsia" w:ascii="宋体" w:hAnsi="宋体" w:cs="宋体"/>
                <w:color w:val="000000"/>
                <w:kern w:val="0"/>
                <w:sz w:val="18"/>
                <w:szCs w:val="18"/>
              </w:rPr>
              <w:t>X≥150%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3" w:hRule="exact"/>
        </w:trPr>
        <w:tc>
          <w:tcPr>
            <w:tcW w:w="789" w:type="dxa"/>
            <w:vMerge w:val="continue"/>
            <w:shd w:val="clear" w:color="auto" w:fill="FFFFFF"/>
            <w:vAlign w:val="center"/>
          </w:tcPr>
          <w:p>
            <w:pPr>
              <w:widowControl/>
              <w:jc w:val="left"/>
              <w:rPr>
                <w:rFonts w:hint="eastAsia" w:ascii="宋体" w:hAnsi="宋体"/>
                <w:color w:val="000000"/>
                <w:sz w:val="18"/>
                <w:szCs w:val="18"/>
              </w:rPr>
            </w:pPr>
          </w:p>
        </w:tc>
        <w:tc>
          <w:tcPr>
            <w:tcW w:w="1299" w:type="dxa"/>
            <w:shd w:val="clear" w:color="auto" w:fill="FFFFFF"/>
            <w:vAlign w:val="center"/>
          </w:tcPr>
          <w:p>
            <w:pPr>
              <w:widowControl/>
              <w:jc w:val="center"/>
              <w:rPr>
                <w:rFonts w:hint="eastAsia" w:ascii="宋体" w:hAnsi="宋体"/>
                <w:color w:val="000000"/>
                <w:sz w:val="18"/>
                <w:szCs w:val="18"/>
              </w:rPr>
            </w:pPr>
            <w:r>
              <w:rPr>
                <w:rFonts w:hint="eastAsia" w:ascii="宋体" w:hAnsi="宋体" w:cs="宋体"/>
                <w:color w:val="000000"/>
                <w:kern w:val="0"/>
                <w:sz w:val="18"/>
                <w:szCs w:val="18"/>
              </w:rPr>
              <w:t>工伤发生率及安全生产管理情况</w:t>
            </w:r>
          </w:p>
        </w:tc>
        <w:tc>
          <w:tcPr>
            <w:tcW w:w="6840" w:type="dxa"/>
            <w:gridSpan w:val="5"/>
            <w:shd w:val="clear" w:color="auto" w:fill="FFFFFF"/>
            <w:vAlign w:val="center"/>
          </w:tcPr>
          <w:p>
            <w:pPr>
              <w:widowControl/>
              <w:spacing w:line="300" w:lineRule="atLeast"/>
              <w:jc w:val="left"/>
              <w:rPr>
                <w:rFonts w:ascii="宋体" w:hAnsi="宋体" w:cs="宋体"/>
                <w:color w:val="000000"/>
                <w:kern w:val="0"/>
                <w:sz w:val="18"/>
                <w:szCs w:val="18"/>
              </w:rPr>
            </w:pPr>
            <w:r>
              <w:rPr>
                <w:rFonts w:hint="eastAsia" w:ascii="宋体" w:hAnsi="宋体" w:cs="宋体"/>
                <w:color w:val="000000"/>
                <w:kern w:val="0"/>
                <w:sz w:val="18"/>
                <w:szCs w:val="18"/>
              </w:rPr>
              <w:t>1.一类至八类行业参保单位，其年度工伤发生率为≥4%或者宁波市安全生产信用等级为“D级”的，在按工伤保险费收支比例浮动次年度费率的基础上，上浮一档费率（已核定为所属行业最高档次费率的不再上浮）。</w:t>
            </w:r>
          </w:p>
          <w:p>
            <w:pPr>
              <w:widowControl/>
              <w:jc w:val="left"/>
              <w:rPr>
                <w:rFonts w:hint="eastAsia" w:ascii="宋体" w:hAnsi="宋体"/>
                <w:color w:val="000000"/>
                <w:sz w:val="18"/>
                <w:szCs w:val="18"/>
              </w:rPr>
            </w:pPr>
            <w:r>
              <w:rPr>
                <w:rFonts w:hint="eastAsia" w:ascii="宋体" w:hAnsi="宋体" w:cs="宋体"/>
                <w:color w:val="000000"/>
                <w:kern w:val="0"/>
                <w:sz w:val="18"/>
                <w:szCs w:val="18"/>
              </w:rPr>
              <w:t>2.二类至八类行业参保单位，其年度工伤保险费收支比例不到80%、工伤发生率不到1%，且经国家、省、市有关部门评审，达到安全生产标准化一至三级企业或者达到宁波市安全生产信用等级“B”级及以上的，次年度在按工伤保险费收支比例浮动的基础上，下浮一档费率（已核定为所属行业最低档次费率的不再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257" w:hRule="exact"/>
        </w:trPr>
        <w:tc>
          <w:tcPr>
            <w:tcW w:w="789" w:type="dxa"/>
            <w:vMerge w:val="continue"/>
            <w:shd w:val="clear" w:color="auto" w:fill="FFFFFF"/>
            <w:vAlign w:val="center"/>
          </w:tcPr>
          <w:p>
            <w:pPr>
              <w:widowControl/>
              <w:jc w:val="left"/>
              <w:rPr>
                <w:rFonts w:hint="eastAsia" w:ascii="宋体" w:hAnsi="宋体"/>
                <w:color w:val="000000"/>
                <w:sz w:val="18"/>
                <w:szCs w:val="18"/>
              </w:rPr>
            </w:pPr>
          </w:p>
        </w:tc>
        <w:tc>
          <w:tcPr>
            <w:tcW w:w="1299" w:type="dxa"/>
            <w:shd w:val="clear" w:color="auto" w:fill="FFFFFF"/>
            <w:vAlign w:val="center"/>
          </w:tcPr>
          <w:p>
            <w:pPr>
              <w:widowControl/>
              <w:jc w:val="center"/>
              <w:rPr>
                <w:rFonts w:hint="eastAsia" w:ascii="宋体" w:hAnsi="宋体"/>
                <w:color w:val="000000"/>
                <w:sz w:val="18"/>
                <w:szCs w:val="18"/>
              </w:rPr>
            </w:pPr>
            <w:r>
              <w:rPr>
                <w:rFonts w:hint="eastAsia" w:ascii="宋体" w:hAnsi="宋体" w:cs="宋体"/>
                <w:color w:val="000000"/>
                <w:kern w:val="0"/>
                <w:sz w:val="18"/>
                <w:szCs w:val="18"/>
              </w:rPr>
              <w:t>按职业病发生情况</w:t>
            </w:r>
          </w:p>
        </w:tc>
        <w:tc>
          <w:tcPr>
            <w:tcW w:w="6840" w:type="dxa"/>
            <w:gridSpan w:val="5"/>
            <w:shd w:val="clear" w:color="auto" w:fill="FFFFFF"/>
            <w:vAlign w:val="center"/>
          </w:tcPr>
          <w:p>
            <w:pPr>
              <w:widowControl/>
              <w:spacing w:line="300" w:lineRule="atLeast"/>
              <w:jc w:val="left"/>
              <w:rPr>
                <w:rFonts w:hint="eastAsia" w:ascii="宋体" w:hAnsi="宋体"/>
                <w:color w:val="000000"/>
                <w:sz w:val="18"/>
                <w:szCs w:val="18"/>
              </w:rPr>
            </w:pPr>
            <w:r>
              <w:rPr>
                <w:rFonts w:hint="eastAsia" w:ascii="宋体" w:hAnsi="宋体" w:cs="宋体"/>
                <w:color w:val="000000"/>
                <w:kern w:val="0"/>
                <w:sz w:val="18"/>
                <w:szCs w:val="18"/>
              </w:rPr>
              <w:t>一类至八类行业参保单位，年度内其职工发生职业病伤害事故（且经劳动能力鉴定为职业病门类1-10级）的，次年起执行所属行业最高档次费率；参保单位在执行所属行业最高档次费率期间，未再发生新的职业病伤害事故的，两年后恢复其在行业内进行费率浮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54BF4"/>
    <w:rsid w:val="6F254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2019-05-07T07:57:00Z</dcterms:created>
  <dc:creator>Administrator</dc:creator>
  <cp:lastModifiedBy>Administrator</cp:lastModifiedBy>
  <dcterms:modified xsi:type="dcterms:W3CDTF">2019-05-07T07:58:12Z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