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楷体"/>
          <w:bCs/>
          <w:kern w:val="0"/>
          <w:sz w:val="32"/>
          <w:szCs w:val="32"/>
        </w:rPr>
      </w:pPr>
      <w:r>
        <w:rPr>
          <w:rFonts w:hint="eastAsia" w:ascii="黑体" w:hAnsi="黑体" w:eastAsia="黑体" w:cs="楷体"/>
          <w:bCs/>
          <w:kern w:val="0"/>
          <w:sz w:val="32"/>
          <w:szCs w:val="32"/>
        </w:rPr>
        <w:t>附件6</w:t>
      </w:r>
    </w:p>
    <w:p>
      <w:pPr>
        <w:jc w:val="center"/>
        <w:rPr>
          <w:rFonts w:hint="eastAsia" w:ascii="方正小标宋简体" w:hAnsi="黑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部分宁波在职研究生专业一览表</w:t>
      </w:r>
    </w:p>
    <w:p>
      <w:pPr>
        <w:jc w:val="center"/>
        <w:rPr>
          <w:rFonts w:hint="eastAsia" w:ascii="方正小标宋简体" w:hAnsi="宋体" w:eastAsia="方正小标宋简体"/>
          <w:kern w:val="0"/>
          <w:sz w:val="32"/>
        </w:rPr>
      </w:pP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2130"/>
        <w:gridCol w:w="4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教学点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招生院校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2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宁波市人才培训中心(宁波市继续教育院)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工商管理(MBA) 、公共管理（MPA）、法律硕士、计算机技术工程、控制工程、电子与通信工程、电气工程、机械工程、动力工程、建筑与土木工程等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上海海事大学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宁波研究生院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工商管理（MBA）、会计硕士（MPACC）、工程管理（MEM）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公共管理（MPA）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法律硕士、机械工程、食品工程、公共管理（MPA）、工商管理(MBA)、电子与通信工程、计算机技术工程、集成电路工程等</w:t>
            </w:r>
          </w:p>
        </w:tc>
      </w:tr>
    </w:tbl>
    <w:p>
      <w:pPr>
        <w:rPr>
          <w:rFonts w:hint="eastAsia" w:ascii="宋体"/>
          <w:kern w:val="0"/>
          <w:sz w:val="32"/>
        </w:rPr>
      </w:pPr>
    </w:p>
    <w:p>
      <w:pPr>
        <w:rPr>
          <w:rFonts w:hint="eastAsia" w:ascii="宋体"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D2658"/>
    <w:rsid w:val="168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2019-07-04T03:55:00Z</dcterms:created>
  <dc:creator>光军</dc:creator>
  <cp:lastModifiedBy>光军</cp:lastModifiedBy>
  <dcterms:modified xsi:type="dcterms:W3CDTF">2019-07-04T03:56:17Z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