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粗黑宋简体" w:hAnsi="方正粗黑宋简体" w:eastAsia="方正粗黑宋简体"/>
          <w:sz w:val="36"/>
          <w:szCs w:val="36"/>
        </w:rPr>
      </w:pPr>
      <w:r>
        <w:rPr>
          <w:rFonts w:hint="eastAsia" w:ascii="方正粗黑宋简体" w:hAnsi="方正粗黑宋简体" w:eastAsia="方正粗黑宋简体"/>
          <w:sz w:val="36"/>
          <w:szCs w:val="36"/>
        </w:rPr>
        <w:t>分类帮扶制造业领域低效企业提升达标深化“亩均论英雄”改革专项行动的实施方案（2019-2020年）</w:t>
      </w:r>
    </w:p>
    <w:p>
      <w:pPr>
        <w:ind w:firstLine="720" w:firstLineChars="200"/>
        <w:rPr>
          <w:rFonts w:ascii="方正粗黑宋简体" w:hAnsi="方正粗黑宋简体" w:eastAsia="方正粗黑宋简体"/>
          <w:sz w:val="36"/>
          <w:szCs w:val="36"/>
        </w:rPr>
      </w:pPr>
      <w:r>
        <w:rPr>
          <w:rFonts w:hint="eastAsia" w:ascii="方正粗黑宋简体" w:hAnsi="方正粗黑宋简体" w:eastAsia="方正粗黑宋简体"/>
          <w:sz w:val="36"/>
          <w:szCs w:val="36"/>
        </w:rPr>
        <w:t xml:space="preserve"> </w:t>
      </w:r>
    </w:p>
    <w:p>
      <w:pPr>
        <w:ind w:firstLine="640" w:firstLineChars="200"/>
        <w:rPr>
          <w:rFonts w:ascii="宋体" w:hAnsi="宋体" w:cs="宋体"/>
          <w:color w:val="000000"/>
          <w:kern w:val="0"/>
          <w:sz w:val="24"/>
          <w:szCs w:val="24"/>
        </w:rPr>
      </w:pPr>
      <w:r>
        <w:rPr>
          <w:rFonts w:ascii="仿宋" w:hAnsi="仿宋" w:eastAsia="仿宋" w:cs="楷体_GB2312"/>
          <w:color w:val="000000"/>
          <w:sz w:val="32"/>
          <w:szCs w:val="32"/>
        </w:rPr>
        <w:t>为深入贯彻落实</w:t>
      </w:r>
      <w:r>
        <w:rPr>
          <w:rFonts w:hint="eastAsia" w:ascii="仿宋" w:hAnsi="仿宋" w:eastAsia="仿宋" w:cs="楷体_GB2312"/>
          <w:color w:val="000000"/>
          <w:sz w:val="32"/>
          <w:szCs w:val="32"/>
        </w:rPr>
        <w:t>省、宁波市深化</w:t>
      </w:r>
      <w:r>
        <w:rPr>
          <w:rFonts w:ascii="仿宋" w:hAnsi="仿宋" w:eastAsia="仿宋" w:cs="楷体_GB2312"/>
          <w:color w:val="000000"/>
          <w:sz w:val="32"/>
          <w:szCs w:val="32"/>
        </w:rPr>
        <w:t>“亩均论英雄”改革</w:t>
      </w:r>
      <w:r>
        <w:rPr>
          <w:rFonts w:hint="eastAsia" w:ascii="仿宋" w:hAnsi="仿宋" w:eastAsia="仿宋" w:cs="楷体_GB2312"/>
          <w:color w:val="000000"/>
          <w:sz w:val="32"/>
          <w:szCs w:val="32"/>
        </w:rPr>
        <w:t>的决策部署</w:t>
      </w:r>
      <w:r>
        <w:rPr>
          <w:rFonts w:ascii="仿宋" w:hAnsi="仿宋" w:eastAsia="仿宋" w:cs="楷体_GB2312"/>
          <w:color w:val="000000"/>
          <w:sz w:val="32"/>
          <w:szCs w:val="32"/>
        </w:rPr>
        <w:t>，根据《</w:t>
      </w:r>
      <w:r>
        <w:rPr>
          <w:rFonts w:hint="eastAsia" w:ascii="仿宋" w:hAnsi="仿宋" w:eastAsia="仿宋" w:cs="楷体_GB2312"/>
          <w:color w:val="000000"/>
          <w:sz w:val="32"/>
          <w:szCs w:val="32"/>
        </w:rPr>
        <w:t>关于分类帮扶制造业领域低效企业提升达标深化“亩均论英雄”改革专项行动的实施方案（2019-2020年）</w:t>
      </w:r>
      <w:r>
        <w:rPr>
          <w:rFonts w:ascii="仿宋" w:hAnsi="仿宋" w:eastAsia="仿宋" w:cs="楷体_GB2312"/>
          <w:color w:val="000000"/>
          <w:sz w:val="32"/>
          <w:szCs w:val="32"/>
        </w:rPr>
        <w:t>》（甬</w:t>
      </w:r>
      <w:r>
        <w:rPr>
          <w:rFonts w:hint="eastAsia" w:ascii="仿宋" w:hAnsi="仿宋" w:eastAsia="仿宋" w:cs="楷体_GB2312"/>
          <w:color w:val="000000"/>
          <w:sz w:val="32"/>
          <w:szCs w:val="32"/>
        </w:rPr>
        <w:t>亩均办</w:t>
      </w:r>
      <w:r>
        <w:rPr>
          <w:rFonts w:ascii="仿宋" w:hAnsi="仿宋" w:eastAsia="仿宋" w:cs="楷体_GB2312"/>
          <w:color w:val="000000"/>
          <w:sz w:val="32"/>
          <w:szCs w:val="32"/>
        </w:rPr>
        <w:t>〔201</w:t>
      </w:r>
      <w:r>
        <w:rPr>
          <w:rFonts w:hint="eastAsia" w:ascii="仿宋" w:hAnsi="仿宋" w:eastAsia="仿宋" w:cs="楷体_GB2312"/>
          <w:color w:val="000000"/>
          <w:sz w:val="32"/>
          <w:szCs w:val="32"/>
        </w:rPr>
        <w:t>9</w:t>
      </w:r>
      <w:r>
        <w:rPr>
          <w:rFonts w:ascii="仿宋" w:hAnsi="仿宋" w:eastAsia="仿宋" w:cs="楷体_GB2312"/>
          <w:color w:val="000000"/>
          <w:sz w:val="32"/>
          <w:szCs w:val="32"/>
        </w:rPr>
        <w:t>〕</w:t>
      </w:r>
      <w:r>
        <w:rPr>
          <w:rFonts w:hint="eastAsia" w:ascii="仿宋" w:hAnsi="仿宋" w:eastAsia="仿宋" w:cs="楷体_GB2312"/>
          <w:color w:val="000000"/>
          <w:sz w:val="32"/>
          <w:szCs w:val="32"/>
        </w:rPr>
        <w:t>4</w:t>
      </w:r>
      <w:r>
        <w:rPr>
          <w:rFonts w:ascii="仿宋" w:hAnsi="仿宋" w:eastAsia="仿宋" w:cs="楷体_GB2312"/>
          <w:color w:val="000000"/>
          <w:sz w:val="32"/>
          <w:szCs w:val="32"/>
        </w:rPr>
        <w:t>号）</w:t>
      </w:r>
      <w:r>
        <w:rPr>
          <w:rFonts w:hint="eastAsia" w:ascii="仿宋" w:hAnsi="仿宋" w:eastAsia="仿宋" w:cs="楷体_GB2312"/>
          <w:color w:val="000000"/>
          <w:sz w:val="32"/>
          <w:szCs w:val="32"/>
        </w:rPr>
        <w:t>文件</w:t>
      </w:r>
      <w:r>
        <w:rPr>
          <w:rFonts w:ascii="仿宋" w:hAnsi="仿宋" w:eastAsia="仿宋" w:cs="楷体_GB2312"/>
          <w:color w:val="000000"/>
          <w:sz w:val="32"/>
          <w:szCs w:val="32"/>
        </w:rPr>
        <w:t>要求，分类帮扶制造业领域低效企业，扎实推进低效企业提升达标工作，</w:t>
      </w:r>
      <w:r>
        <w:rPr>
          <w:rFonts w:hint="eastAsia" w:ascii="仿宋" w:hAnsi="仿宋" w:eastAsia="仿宋" w:cs="楷体_GB2312"/>
          <w:color w:val="000000"/>
          <w:sz w:val="32"/>
          <w:szCs w:val="32"/>
        </w:rPr>
        <w:t>促进经济高质量发展，</w:t>
      </w:r>
      <w:r>
        <w:rPr>
          <w:rFonts w:ascii="仿宋" w:hAnsi="仿宋" w:eastAsia="仿宋" w:cs="楷体_GB2312"/>
          <w:color w:val="000000"/>
          <w:sz w:val="32"/>
          <w:szCs w:val="32"/>
        </w:rPr>
        <w:t>特制定本专项行动实施方案。</w:t>
      </w:r>
    </w:p>
    <w:p>
      <w:pPr>
        <w:spacing w:line="580" w:lineRule="exact"/>
        <w:ind w:firstLine="643" w:firstLineChars="200"/>
        <w:rPr>
          <w:rFonts w:ascii="宋体" w:hAnsi="宋体" w:cs="楷体_GB2312"/>
          <w:b/>
          <w:color w:val="000000"/>
          <w:sz w:val="32"/>
          <w:szCs w:val="32"/>
        </w:rPr>
      </w:pPr>
      <w:r>
        <w:rPr>
          <w:rFonts w:hint="eastAsia" w:ascii="宋体" w:hAnsi="宋体" w:cs="楷体_GB2312"/>
          <w:b/>
          <w:color w:val="000000"/>
          <w:sz w:val="32"/>
          <w:szCs w:val="32"/>
        </w:rPr>
        <w:t>一、主要目标</w:t>
      </w:r>
    </w:p>
    <w:p>
      <w:pPr>
        <w:spacing w:line="580" w:lineRule="exact"/>
        <w:ind w:firstLine="640" w:firstLineChars="200"/>
        <w:rPr>
          <w:rFonts w:ascii="仿宋" w:hAnsi="仿宋" w:eastAsia="仿宋"/>
          <w:color w:val="000000"/>
          <w:kern w:val="32"/>
          <w:sz w:val="32"/>
          <w:szCs w:val="32"/>
        </w:rPr>
      </w:pPr>
      <w:r>
        <w:rPr>
          <w:rFonts w:ascii="仿宋" w:hAnsi="仿宋" w:eastAsia="仿宋"/>
          <w:color w:val="000000"/>
          <w:kern w:val="32"/>
          <w:sz w:val="32"/>
          <w:szCs w:val="32"/>
        </w:rPr>
        <w:t>2019年，完成</w:t>
      </w:r>
      <w:r>
        <w:rPr>
          <w:rFonts w:hint="eastAsia" w:ascii="仿宋" w:hAnsi="仿宋" w:eastAsia="仿宋"/>
          <w:color w:val="000000"/>
          <w:kern w:val="32"/>
          <w:sz w:val="32"/>
          <w:szCs w:val="32"/>
        </w:rPr>
        <w:t>2</w:t>
      </w:r>
      <w:r>
        <w:rPr>
          <w:rFonts w:hint="eastAsia" w:ascii="仿宋" w:hAnsi="仿宋" w:eastAsia="仿宋"/>
          <w:color w:val="000000"/>
          <w:kern w:val="32"/>
          <w:sz w:val="32"/>
          <w:szCs w:val="32"/>
          <w:lang w:val="en-US" w:eastAsia="zh-CN"/>
        </w:rPr>
        <w:t>70</w:t>
      </w:r>
      <w:r>
        <w:rPr>
          <w:rFonts w:ascii="仿宋" w:hAnsi="仿宋" w:eastAsia="仿宋"/>
          <w:color w:val="000000"/>
          <w:kern w:val="32"/>
          <w:sz w:val="32"/>
          <w:szCs w:val="32"/>
        </w:rPr>
        <w:t>家工商注册满5年且近3年亩均税收均低于1万元的制造业领域低效企业的提升达标，至2020年，全市亩均税收1万元以下的企业全部通过退出、转移、入园、提升实现市场化出清，企业的综合竞争力和整体产出水平显著提高，基本无新增企业在园区外落户，区域“亩均效益”</w:t>
      </w:r>
      <w:r>
        <w:rPr>
          <w:rFonts w:hint="eastAsia" w:ascii="仿宋" w:hAnsi="仿宋" w:eastAsia="仿宋"/>
          <w:color w:val="000000"/>
          <w:kern w:val="32"/>
          <w:sz w:val="32"/>
          <w:szCs w:val="32"/>
        </w:rPr>
        <w:t>有较大幅度的提升</w:t>
      </w:r>
      <w:r>
        <w:rPr>
          <w:rFonts w:ascii="仿宋" w:hAnsi="仿宋" w:eastAsia="仿宋"/>
          <w:color w:val="000000"/>
          <w:kern w:val="32"/>
          <w:sz w:val="32"/>
          <w:szCs w:val="32"/>
        </w:rPr>
        <w:t>。</w:t>
      </w:r>
    </w:p>
    <w:p>
      <w:pPr>
        <w:spacing w:line="580" w:lineRule="exact"/>
        <w:ind w:firstLine="643" w:firstLineChars="200"/>
        <w:rPr>
          <w:rFonts w:ascii="宋体" w:hAnsi="宋体" w:cs="楷体_GB2312"/>
          <w:b/>
          <w:color w:val="000000"/>
          <w:sz w:val="32"/>
          <w:szCs w:val="32"/>
        </w:rPr>
      </w:pPr>
      <w:r>
        <w:rPr>
          <w:rFonts w:hint="eastAsia" w:ascii="宋体" w:hAnsi="宋体" w:cs="楷体_GB2312"/>
          <w:b/>
          <w:color w:val="000000"/>
          <w:sz w:val="32"/>
          <w:szCs w:val="32"/>
        </w:rPr>
        <w:t>二、对象界定及责任分工</w:t>
      </w:r>
    </w:p>
    <w:p>
      <w:pPr>
        <w:spacing w:line="580" w:lineRule="exact"/>
        <w:ind w:firstLine="640" w:firstLineChars="200"/>
        <w:rPr>
          <w:rFonts w:ascii="仿宋" w:hAnsi="仿宋" w:eastAsia="仿宋"/>
          <w:color w:val="000000"/>
          <w:sz w:val="32"/>
          <w:szCs w:val="32"/>
        </w:rPr>
      </w:pPr>
      <w:r>
        <w:rPr>
          <w:rFonts w:ascii="仿宋" w:hAnsi="仿宋" w:eastAsia="仿宋"/>
          <w:color w:val="000000"/>
          <w:sz w:val="32"/>
          <w:szCs w:val="32"/>
        </w:rPr>
        <w:t>（一）对象界定</w:t>
      </w:r>
    </w:p>
    <w:p>
      <w:pPr>
        <w:spacing w:line="580" w:lineRule="exact"/>
        <w:ind w:firstLine="640" w:firstLineChars="200"/>
        <w:rPr>
          <w:rFonts w:ascii="仿宋" w:hAnsi="仿宋" w:eastAsia="仿宋" w:cs="楷体_GB2312"/>
          <w:color w:val="000000"/>
          <w:sz w:val="32"/>
          <w:szCs w:val="32"/>
        </w:rPr>
      </w:pPr>
      <w:r>
        <w:rPr>
          <w:rFonts w:ascii="仿宋" w:hAnsi="仿宋" w:eastAsia="仿宋" w:cs="楷体_GB2312"/>
          <w:color w:val="000000"/>
          <w:sz w:val="32"/>
          <w:szCs w:val="32"/>
        </w:rPr>
        <w:t>提升达标的对象原则上是</w:t>
      </w:r>
      <w:r>
        <w:rPr>
          <w:rFonts w:ascii="仿宋" w:hAnsi="仿宋" w:eastAsia="仿宋"/>
          <w:sz w:val="32"/>
          <w:szCs w:val="32"/>
        </w:rPr>
        <w:t>注册登记满5年且近3年亩均税收均低于1万元的制造业领域企业</w:t>
      </w:r>
      <w:r>
        <w:rPr>
          <w:rFonts w:ascii="仿宋" w:hAnsi="仿宋" w:eastAsia="仿宋" w:cs="楷体_GB2312"/>
          <w:color w:val="000000"/>
          <w:sz w:val="32"/>
          <w:szCs w:val="32"/>
        </w:rPr>
        <w:t>。但不包括以下几类情况：</w:t>
      </w:r>
    </w:p>
    <w:p>
      <w:pPr>
        <w:spacing w:line="580" w:lineRule="exact"/>
        <w:ind w:firstLine="640" w:firstLineChars="200"/>
        <w:rPr>
          <w:rFonts w:ascii="仿宋" w:hAnsi="仿宋" w:eastAsia="仿宋"/>
          <w:color w:val="000000"/>
          <w:sz w:val="32"/>
          <w:szCs w:val="32"/>
        </w:rPr>
      </w:pPr>
      <w:r>
        <w:rPr>
          <w:rFonts w:ascii="仿宋" w:hAnsi="仿宋" w:eastAsia="仿宋"/>
          <w:sz w:val="32"/>
          <w:szCs w:val="32"/>
        </w:rPr>
        <w:t>1.按照《宁波市人民政府关于深化“亩均论英雄”改革的实施意见》（甬政发〔2018〕55号）规定，处于评价</w:t>
      </w:r>
      <w:r>
        <w:rPr>
          <w:rFonts w:ascii="仿宋" w:hAnsi="仿宋" w:eastAsia="仿宋" w:cs="楷体_GB2312"/>
          <w:color w:val="000000"/>
          <w:kern w:val="0"/>
          <w:sz w:val="32"/>
          <w:szCs w:val="32"/>
          <w:shd w:val="clear" w:color="auto" w:fill="FFFFFF"/>
        </w:rPr>
        <w:t>过渡期内的初创企业、小升规工业企业、重大建设期内的企业（项目）等，处于成长期内的当地需重点支持的高新技术企业、战略性新兴产业、特色主导产业等</w:t>
      </w:r>
      <w:r>
        <w:rPr>
          <w:rFonts w:ascii="仿宋" w:hAnsi="仿宋" w:eastAsia="仿宋"/>
          <w:color w:val="000000"/>
          <w:sz w:val="32"/>
          <w:szCs w:val="32"/>
        </w:rPr>
        <w:t>。</w:t>
      </w:r>
    </w:p>
    <w:p>
      <w:pPr>
        <w:spacing w:line="580" w:lineRule="exact"/>
        <w:ind w:firstLine="640" w:firstLineChars="200"/>
        <w:rPr>
          <w:rFonts w:ascii="仿宋" w:hAnsi="仿宋" w:eastAsia="仿宋"/>
          <w:color w:val="000000"/>
          <w:sz w:val="32"/>
          <w:szCs w:val="32"/>
        </w:rPr>
      </w:pPr>
      <w:r>
        <w:rPr>
          <w:rFonts w:ascii="仿宋" w:hAnsi="仿宋" w:eastAsia="仿宋"/>
          <w:color w:val="000000"/>
          <w:sz w:val="32"/>
          <w:szCs w:val="32"/>
        </w:rPr>
        <w:t>2.水、电、燃气、资源综合利用等公益型企业。</w:t>
      </w:r>
    </w:p>
    <w:p>
      <w:pPr>
        <w:spacing w:line="580" w:lineRule="exact"/>
        <w:ind w:firstLine="640" w:firstLineChars="200"/>
        <w:rPr>
          <w:rFonts w:ascii="仿宋" w:hAnsi="仿宋" w:eastAsia="仿宋"/>
          <w:color w:val="000000"/>
          <w:sz w:val="32"/>
          <w:szCs w:val="32"/>
        </w:rPr>
      </w:pPr>
      <w:r>
        <w:rPr>
          <w:rFonts w:ascii="仿宋" w:hAnsi="仿宋" w:eastAsia="仿宋"/>
          <w:color w:val="000000"/>
          <w:sz w:val="32"/>
          <w:szCs w:val="32"/>
        </w:rPr>
        <w:t>3.福利型企业。</w:t>
      </w:r>
    </w:p>
    <w:p>
      <w:pPr>
        <w:spacing w:line="580" w:lineRule="exact"/>
        <w:ind w:firstLine="640" w:firstLineChars="200"/>
        <w:rPr>
          <w:rFonts w:ascii="仿宋" w:hAnsi="仿宋" w:eastAsia="仿宋"/>
          <w:color w:val="000000"/>
          <w:sz w:val="32"/>
          <w:szCs w:val="32"/>
        </w:rPr>
      </w:pPr>
      <w:r>
        <w:rPr>
          <w:rFonts w:ascii="仿宋" w:hAnsi="仿宋" w:eastAsia="仿宋"/>
          <w:color w:val="000000"/>
          <w:sz w:val="32"/>
          <w:szCs w:val="32"/>
        </w:rPr>
        <w:t>（二）对象分类及责任分工</w:t>
      </w:r>
    </w:p>
    <w:p>
      <w:pPr>
        <w:spacing w:line="580" w:lineRule="exact"/>
        <w:ind w:firstLine="640" w:firstLineChars="200"/>
        <w:rPr>
          <w:rFonts w:ascii="仿宋" w:hAnsi="仿宋" w:eastAsia="仿宋"/>
          <w:color w:val="000000"/>
          <w:sz w:val="32"/>
          <w:szCs w:val="32"/>
        </w:rPr>
      </w:pPr>
      <w:r>
        <w:rPr>
          <w:rFonts w:ascii="仿宋" w:hAnsi="仿宋" w:eastAsia="仿宋" w:cs="楷体_GB2312"/>
          <w:color w:val="000000"/>
          <w:sz w:val="32"/>
          <w:szCs w:val="32"/>
        </w:rPr>
        <w:t>根据实际情况，将低效企业</w:t>
      </w:r>
      <w:r>
        <w:rPr>
          <w:rFonts w:ascii="仿宋" w:hAnsi="仿宋" w:eastAsia="仿宋"/>
          <w:color w:val="000000"/>
          <w:sz w:val="32"/>
          <w:szCs w:val="32"/>
        </w:rPr>
        <w:t>分为11大类型，并明确每类企业的责任分工：</w:t>
      </w:r>
    </w:p>
    <w:p>
      <w:pPr>
        <w:spacing w:line="58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1.税费规范类：</w:t>
      </w:r>
      <w:r>
        <w:rPr>
          <w:rFonts w:ascii="仿宋" w:hAnsi="仿宋" w:eastAsia="仿宋" w:cs="楷体_GB2312"/>
          <w:color w:val="000000"/>
          <w:kern w:val="0"/>
          <w:sz w:val="32"/>
          <w:szCs w:val="32"/>
          <w:shd w:val="clear" w:color="auto" w:fill="FFFFFF"/>
        </w:rPr>
        <w:t>存在逃避缴纳税款、逃避追缴欠税、骗取出口退税、提供虚假申报材料享受税收优惠政策、违反发票管理规定使用发票、以暴力、威胁方法拒不缴纳税款或者拒绝、阻挠税务机关依法实施税务</w:t>
      </w:r>
      <w:r>
        <w:rPr>
          <w:rFonts w:hint="eastAsia" w:ascii="仿宋" w:hAnsi="仿宋" w:eastAsia="仿宋" w:cs="楷体_GB2312"/>
          <w:color w:val="000000"/>
          <w:kern w:val="0"/>
          <w:sz w:val="32"/>
          <w:szCs w:val="32"/>
          <w:shd w:val="clear" w:color="auto" w:fill="FFFFFF"/>
        </w:rPr>
        <w:t>检</w:t>
      </w:r>
      <w:r>
        <w:rPr>
          <w:rFonts w:ascii="仿宋" w:hAnsi="仿宋" w:eastAsia="仿宋" w:cs="楷体_GB2312"/>
          <w:color w:val="000000"/>
          <w:kern w:val="0"/>
          <w:sz w:val="32"/>
          <w:szCs w:val="32"/>
          <w:shd w:val="clear" w:color="auto" w:fill="FFFFFF"/>
        </w:rPr>
        <w:t>查执法等行为的低效企业（牵头单位：市税务局）</w:t>
      </w:r>
      <w:r>
        <w:rPr>
          <w:rFonts w:hint="eastAsia" w:ascii="仿宋" w:hAnsi="仿宋" w:eastAsia="仿宋" w:cs="楷体_GB2312"/>
          <w:color w:val="000000"/>
          <w:kern w:val="0"/>
          <w:sz w:val="32"/>
          <w:szCs w:val="32"/>
          <w:shd w:val="clear" w:color="auto" w:fill="FFFFFF"/>
          <w:lang w:eastAsia="zh-CN"/>
        </w:rPr>
        <w:t>；</w:t>
      </w:r>
    </w:p>
    <w:p>
      <w:pPr>
        <w:spacing w:line="580" w:lineRule="exact"/>
        <w:ind w:firstLine="640" w:firstLineChars="200"/>
        <w:rPr>
          <w:rFonts w:hint="eastAsia" w:ascii="仿宋" w:hAnsi="仿宋" w:eastAsia="仿宋" w:cs="楷体_GB2312"/>
          <w:color w:val="000000"/>
          <w:kern w:val="0"/>
          <w:sz w:val="32"/>
          <w:szCs w:val="32"/>
          <w:shd w:val="clear" w:color="auto" w:fill="FFFFFF"/>
          <w:lang w:eastAsia="zh-CN"/>
        </w:rPr>
      </w:pPr>
      <w:r>
        <w:rPr>
          <w:rFonts w:ascii="仿宋" w:hAnsi="仿宋" w:eastAsia="仿宋" w:cs="楷体_GB2312"/>
          <w:color w:val="000000"/>
          <w:kern w:val="0"/>
          <w:sz w:val="32"/>
          <w:szCs w:val="32"/>
          <w:shd w:val="clear" w:color="auto" w:fill="FFFFFF"/>
        </w:rPr>
        <w:t>2.违法经营类：</w:t>
      </w:r>
      <w:r>
        <w:rPr>
          <w:rFonts w:ascii="仿宋" w:hAnsi="仿宋" w:eastAsia="仿宋"/>
          <w:color w:val="000000"/>
          <w:sz w:val="32"/>
          <w:szCs w:val="32"/>
        </w:rPr>
        <w:t>市场监管职责范围内</w:t>
      </w:r>
      <w:r>
        <w:rPr>
          <w:rFonts w:hint="eastAsia" w:ascii="仿宋" w:hAnsi="仿宋" w:eastAsia="仿宋"/>
          <w:color w:val="000000"/>
          <w:sz w:val="32"/>
          <w:szCs w:val="32"/>
          <w:lang w:eastAsia="zh-CN"/>
        </w:rPr>
        <w:t>存在超范围</w:t>
      </w:r>
      <w:r>
        <w:rPr>
          <w:rFonts w:ascii="仿宋" w:hAnsi="仿宋" w:eastAsia="仿宋"/>
          <w:color w:val="000000"/>
          <w:sz w:val="32"/>
          <w:szCs w:val="32"/>
        </w:rPr>
        <w:t>经营</w:t>
      </w:r>
      <w:r>
        <w:rPr>
          <w:rFonts w:hint="eastAsia" w:ascii="仿宋" w:hAnsi="仿宋" w:eastAsia="仿宋"/>
          <w:color w:val="000000"/>
          <w:sz w:val="32"/>
          <w:szCs w:val="32"/>
          <w:lang w:eastAsia="zh-CN"/>
        </w:rPr>
        <w:t>、</w:t>
      </w:r>
      <w:r>
        <w:rPr>
          <w:rFonts w:ascii="仿宋" w:hAnsi="仿宋" w:eastAsia="仿宋"/>
          <w:color w:val="000000"/>
          <w:sz w:val="32"/>
          <w:szCs w:val="32"/>
        </w:rPr>
        <w:t>无证经营</w:t>
      </w:r>
      <w:r>
        <w:rPr>
          <w:rFonts w:hint="eastAsia" w:ascii="仿宋" w:hAnsi="仿宋" w:eastAsia="仿宋"/>
          <w:color w:val="000000"/>
          <w:sz w:val="32"/>
          <w:szCs w:val="32"/>
          <w:lang w:eastAsia="zh-CN"/>
        </w:rPr>
        <w:t>等</w:t>
      </w:r>
      <w:r>
        <w:rPr>
          <w:rFonts w:ascii="仿宋" w:hAnsi="仿宋" w:eastAsia="仿宋"/>
          <w:color w:val="000000"/>
          <w:sz w:val="32"/>
          <w:szCs w:val="32"/>
        </w:rPr>
        <w:t>各类违法经营的低效企业（作坊）（</w:t>
      </w:r>
      <w:r>
        <w:rPr>
          <w:rFonts w:ascii="仿宋" w:hAnsi="仿宋" w:eastAsia="仿宋" w:cs="楷体_GB2312"/>
          <w:color w:val="000000"/>
          <w:kern w:val="0"/>
          <w:sz w:val="32"/>
          <w:szCs w:val="32"/>
          <w:shd w:val="clear" w:color="auto" w:fill="FFFFFF"/>
        </w:rPr>
        <w:t>牵头单位：</w:t>
      </w:r>
      <w:r>
        <w:rPr>
          <w:rFonts w:ascii="仿宋" w:hAnsi="仿宋" w:eastAsia="仿宋"/>
          <w:color w:val="000000"/>
          <w:sz w:val="32"/>
          <w:szCs w:val="32"/>
        </w:rPr>
        <w:t>市市场监管局）</w:t>
      </w:r>
      <w:r>
        <w:rPr>
          <w:rFonts w:hint="eastAsia" w:ascii="仿宋" w:hAnsi="仿宋" w:eastAsia="仿宋"/>
          <w:color w:val="000000"/>
          <w:sz w:val="32"/>
          <w:szCs w:val="32"/>
          <w:lang w:eastAsia="zh-CN"/>
        </w:rPr>
        <w:t>；</w:t>
      </w:r>
    </w:p>
    <w:p>
      <w:pPr>
        <w:spacing w:line="580" w:lineRule="exact"/>
        <w:ind w:firstLine="640" w:firstLineChars="200"/>
        <w:rPr>
          <w:rFonts w:hint="eastAsia" w:ascii="仿宋" w:hAnsi="仿宋" w:eastAsia="仿宋" w:cs="楷体_GB2312"/>
          <w:color w:val="000000"/>
          <w:kern w:val="0"/>
          <w:sz w:val="32"/>
          <w:szCs w:val="32"/>
          <w:shd w:val="clear" w:color="auto" w:fill="FFFFFF"/>
          <w:lang w:eastAsia="zh-CN"/>
        </w:rPr>
      </w:pPr>
      <w:r>
        <w:rPr>
          <w:rFonts w:ascii="仿宋" w:hAnsi="仿宋" w:eastAsia="仿宋" w:cs="楷体_GB2312"/>
          <w:color w:val="000000"/>
          <w:kern w:val="0"/>
          <w:sz w:val="32"/>
          <w:szCs w:val="32"/>
          <w:shd w:val="clear" w:color="auto" w:fill="FFFFFF"/>
        </w:rPr>
        <w:t>3.</w:t>
      </w:r>
      <w:r>
        <w:rPr>
          <w:rFonts w:ascii="仿宋" w:hAnsi="仿宋" w:eastAsia="仿宋"/>
          <w:color w:val="000000"/>
          <w:sz w:val="32"/>
          <w:szCs w:val="32"/>
        </w:rPr>
        <w:t>环境污染类：不</w:t>
      </w:r>
      <w:r>
        <w:rPr>
          <w:rFonts w:ascii="仿宋" w:hAnsi="仿宋" w:eastAsia="仿宋" w:cs="楷体_GB2312"/>
          <w:color w:val="000000"/>
          <w:kern w:val="0"/>
          <w:sz w:val="32"/>
          <w:szCs w:val="32"/>
          <w:shd w:val="clear" w:color="auto" w:fill="FFFFFF"/>
        </w:rPr>
        <w:t>能稳定达标排放、无环保治理设施以及涉水、气、渣、声等环境违法行为的低效企业（牵头单位：</w:t>
      </w:r>
      <w:r>
        <w:rPr>
          <w:rFonts w:hint="eastAsia" w:ascii="仿宋" w:hAnsi="仿宋" w:eastAsia="仿宋" w:cs="楷体_GB2312"/>
          <w:color w:val="000000"/>
          <w:kern w:val="0"/>
          <w:sz w:val="32"/>
          <w:szCs w:val="32"/>
          <w:shd w:val="clear" w:color="auto" w:fill="FFFFFF"/>
        </w:rPr>
        <w:t>宁波</w:t>
      </w:r>
      <w:r>
        <w:rPr>
          <w:rFonts w:ascii="仿宋" w:hAnsi="仿宋" w:eastAsia="仿宋" w:cs="楷体_GB2312"/>
          <w:color w:val="000000"/>
          <w:kern w:val="0"/>
          <w:sz w:val="32"/>
          <w:szCs w:val="32"/>
          <w:shd w:val="clear" w:color="auto" w:fill="FFFFFF"/>
        </w:rPr>
        <w:t>市生态环境局</w:t>
      </w:r>
      <w:r>
        <w:rPr>
          <w:rFonts w:hint="eastAsia" w:ascii="仿宋" w:hAnsi="仿宋" w:eastAsia="仿宋" w:cs="楷体_GB2312"/>
          <w:color w:val="000000"/>
          <w:kern w:val="0"/>
          <w:sz w:val="32"/>
          <w:szCs w:val="32"/>
          <w:shd w:val="clear" w:color="auto" w:fill="FFFFFF"/>
        </w:rPr>
        <w:t>慈溪分局</w:t>
      </w:r>
      <w:r>
        <w:rPr>
          <w:rFonts w:ascii="仿宋" w:hAnsi="仿宋" w:eastAsia="仿宋" w:cs="楷体_GB2312"/>
          <w:color w:val="000000"/>
          <w:kern w:val="0"/>
          <w:sz w:val="32"/>
          <w:szCs w:val="32"/>
          <w:shd w:val="clear" w:color="auto" w:fill="FFFFFF"/>
        </w:rPr>
        <w:t>）</w:t>
      </w:r>
      <w:r>
        <w:rPr>
          <w:rFonts w:hint="eastAsia" w:ascii="仿宋" w:hAnsi="仿宋" w:eastAsia="仿宋" w:cs="楷体_GB2312"/>
          <w:color w:val="000000"/>
          <w:kern w:val="0"/>
          <w:sz w:val="32"/>
          <w:szCs w:val="32"/>
          <w:shd w:val="clear" w:color="auto" w:fill="FFFFFF"/>
          <w:lang w:eastAsia="zh-CN"/>
        </w:rPr>
        <w:t>；</w:t>
      </w:r>
    </w:p>
    <w:p>
      <w:pPr>
        <w:spacing w:line="580" w:lineRule="exact"/>
        <w:ind w:firstLine="640" w:firstLineChars="200"/>
        <w:rPr>
          <w:rFonts w:hint="eastAsia" w:ascii="仿宋" w:hAnsi="仿宋" w:eastAsia="仿宋" w:cs="楷体_GB2312"/>
          <w:color w:val="000000"/>
          <w:kern w:val="0"/>
          <w:sz w:val="32"/>
          <w:szCs w:val="32"/>
          <w:shd w:val="clear" w:color="auto" w:fill="FFFFFF"/>
          <w:lang w:eastAsia="zh-CN"/>
        </w:rPr>
      </w:pPr>
      <w:r>
        <w:rPr>
          <w:rFonts w:ascii="仿宋" w:hAnsi="仿宋" w:eastAsia="仿宋" w:cs="楷体_GB2312"/>
          <w:color w:val="000000"/>
          <w:kern w:val="0"/>
          <w:sz w:val="32"/>
          <w:szCs w:val="32"/>
          <w:shd w:val="clear" w:color="auto" w:fill="FFFFFF"/>
        </w:rPr>
        <w:t>4.安全隐患类：存在重大生产安全事故隐患、无安全保障的危化、机械制造等行业的低效企业（牵头单位：市应急管理局）</w:t>
      </w:r>
      <w:r>
        <w:rPr>
          <w:rFonts w:hint="eastAsia" w:ascii="仿宋" w:hAnsi="仿宋" w:eastAsia="仿宋" w:cs="楷体_GB2312"/>
          <w:color w:val="000000"/>
          <w:kern w:val="0"/>
          <w:sz w:val="32"/>
          <w:szCs w:val="32"/>
          <w:shd w:val="clear" w:color="auto" w:fill="FFFFFF"/>
          <w:lang w:eastAsia="zh-CN"/>
        </w:rPr>
        <w:t>；</w:t>
      </w:r>
    </w:p>
    <w:p>
      <w:pPr>
        <w:spacing w:line="580" w:lineRule="exact"/>
        <w:ind w:firstLine="640" w:firstLineChars="200"/>
        <w:rPr>
          <w:rFonts w:hint="eastAsia" w:ascii="仿宋" w:hAnsi="仿宋" w:eastAsia="仿宋" w:cs="楷体_GB2312"/>
          <w:color w:val="000000"/>
          <w:kern w:val="0"/>
          <w:sz w:val="32"/>
          <w:szCs w:val="32"/>
          <w:shd w:val="clear" w:color="auto" w:fill="FFFFFF"/>
          <w:lang w:eastAsia="zh-CN"/>
        </w:rPr>
      </w:pPr>
      <w:r>
        <w:rPr>
          <w:rFonts w:ascii="仿宋" w:hAnsi="仿宋" w:eastAsia="仿宋" w:cs="楷体_GB2312"/>
          <w:color w:val="000000"/>
          <w:kern w:val="0"/>
          <w:sz w:val="32"/>
          <w:szCs w:val="32"/>
          <w:shd w:val="clear" w:color="auto" w:fill="FFFFFF"/>
        </w:rPr>
        <w:t>5.违章建筑类：</w:t>
      </w:r>
      <w:r>
        <w:rPr>
          <w:rFonts w:ascii="仿宋" w:hAnsi="仿宋" w:eastAsia="仿宋"/>
          <w:sz w:val="32"/>
          <w:szCs w:val="32"/>
        </w:rPr>
        <w:t>房屋结构质量存在安全隐患、乱搭建违法建筑作为生产场所的低效企业</w:t>
      </w:r>
      <w:r>
        <w:rPr>
          <w:rFonts w:ascii="仿宋" w:hAnsi="仿宋" w:eastAsia="仿宋" w:cs="楷体_GB2312"/>
          <w:color w:val="000000"/>
          <w:kern w:val="0"/>
          <w:sz w:val="32"/>
          <w:szCs w:val="32"/>
          <w:shd w:val="clear" w:color="auto" w:fill="FFFFFF"/>
        </w:rPr>
        <w:t>（牵头单位：市综合行政执法局、市住建局、市自然资源和规划局）</w:t>
      </w:r>
      <w:r>
        <w:rPr>
          <w:rFonts w:hint="eastAsia" w:ascii="仿宋" w:hAnsi="仿宋" w:eastAsia="仿宋"/>
          <w:sz w:val="32"/>
          <w:szCs w:val="32"/>
          <w:lang w:eastAsia="zh-CN"/>
        </w:rPr>
        <w:t>；</w:t>
      </w:r>
    </w:p>
    <w:p>
      <w:pPr>
        <w:spacing w:line="580" w:lineRule="exact"/>
        <w:ind w:firstLine="640" w:firstLineChars="200"/>
        <w:rPr>
          <w:rFonts w:ascii="仿宋" w:hAnsi="仿宋" w:eastAsia="仿宋" w:cs="楷体_GB2312"/>
          <w:color w:val="000000"/>
          <w:kern w:val="0"/>
          <w:sz w:val="32"/>
          <w:szCs w:val="32"/>
          <w:shd w:val="clear" w:color="auto" w:fill="FFFFFF"/>
        </w:rPr>
      </w:pPr>
      <w:r>
        <w:rPr>
          <w:rFonts w:ascii="仿宋" w:hAnsi="仿宋" w:eastAsia="仿宋" w:cs="楷体_GB2312"/>
          <w:color w:val="000000"/>
          <w:kern w:val="0"/>
          <w:sz w:val="32"/>
          <w:szCs w:val="32"/>
          <w:shd w:val="clear" w:color="auto" w:fill="FFFFFF"/>
        </w:rPr>
        <w:t>6.散乱布局类：不符合当地产业布局规划，没有进驻工业园区、存在于居民集中区的企业、工业摊点、工业小作坊“三合一”、“低小散”的低效企业（牵头单位：市经信局、市自然资源和规划局）；</w:t>
      </w:r>
    </w:p>
    <w:p>
      <w:pPr>
        <w:spacing w:line="580" w:lineRule="exact"/>
        <w:ind w:firstLine="640" w:firstLineChars="200"/>
        <w:rPr>
          <w:rFonts w:ascii="仿宋" w:hAnsi="仿宋" w:eastAsia="仿宋" w:cs="楷体_GB2312"/>
          <w:color w:val="000000"/>
          <w:kern w:val="0"/>
          <w:sz w:val="32"/>
          <w:szCs w:val="32"/>
          <w:shd w:val="clear" w:color="auto" w:fill="FFFFFF"/>
        </w:rPr>
      </w:pPr>
      <w:r>
        <w:rPr>
          <w:rFonts w:ascii="仿宋" w:hAnsi="仿宋" w:eastAsia="仿宋" w:cs="楷体_GB2312"/>
          <w:color w:val="000000"/>
          <w:kern w:val="0"/>
          <w:sz w:val="32"/>
          <w:szCs w:val="32"/>
          <w:shd w:val="clear" w:color="auto" w:fill="FFFFFF"/>
        </w:rPr>
        <w:t>7.产能淘汰类：存在</w:t>
      </w:r>
      <w:r>
        <w:rPr>
          <w:rFonts w:ascii="仿宋" w:hAnsi="仿宋" w:eastAsia="仿宋"/>
          <w:spacing w:val="-4"/>
          <w:sz w:val="32"/>
          <w:szCs w:val="32"/>
        </w:rPr>
        <w:t>不符合各级政府产业政策和产业导向的落后产能的低效生产企业</w:t>
      </w:r>
      <w:r>
        <w:rPr>
          <w:rFonts w:ascii="仿宋" w:hAnsi="仿宋" w:eastAsia="仿宋" w:cs="楷体_GB2312"/>
          <w:color w:val="000000"/>
          <w:kern w:val="0"/>
          <w:sz w:val="32"/>
          <w:szCs w:val="32"/>
          <w:shd w:val="clear" w:color="auto" w:fill="FFFFFF"/>
        </w:rPr>
        <w:t>（牵头单位：市经信局）；</w:t>
      </w:r>
    </w:p>
    <w:p>
      <w:pPr>
        <w:spacing w:line="580" w:lineRule="exact"/>
        <w:ind w:firstLine="640" w:firstLineChars="200"/>
        <w:rPr>
          <w:rFonts w:ascii="仿宋" w:hAnsi="仿宋" w:eastAsia="仿宋" w:cs="楷体_GB2312"/>
          <w:color w:val="000000"/>
          <w:kern w:val="0"/>
          <w:sz w:val="32"/>
          <w:szCs w:val="32"/>
          <w:shd w:val="clear" w:color="auto" w:fill="FFFFFF"/>
        </w:rPr>
      </w:pPr>
      <w:r>
        <w:rPr>
          <w:rFonts w:ascii="仿宋" w:hAnsi="仿宋" w:eastAsia="仿宋" w:cs="楷体_GB2312"/>
          <w:color w:val="000000"/>
          <w:kern w:val="0"/>
          <w:sz w:val="32"/>
          <w:szCs w:val="32"/>
          <w:shd w:val="clear" w:color="auto" w:fill="FFFFFF"/>
        </w:rPr>
        <w:t>8.</w:t>
      </w:r>
      <w:r>
        <w:rPr>
          <w:rFonts w:ascii="仿宋" w:hAnsi="仿宋" w:eastAsia="仿宋"/>
          <w:color w:val="000000"/>
          <w:kern w:val="32"/>
          <w:sz w:val="32"/>
          <w:szCs w:val="32"/>
        </w:rPr>
        <w:t>违法用地类：</w:t>
      </w:r>
      <w:r>
        <w:rPr>
          <w:rFonts w:ascii="仿宋" w:hAnsi="仿宋" w:eastAsia="仿宋" w:cs="楷体_GB2312"/>
          <w:color w:val="000000"/>
          <w:kern w:val="0"/>
          <w:sz w:val="32"/>
          <w:szCs w:val="32"/>
          <w:shd w:val="clear" w:color="auto" w:fill="FFFFFF"/>
        </w:rPr>
        <w:t>涉及非法占用土地，或擅自改变工业用地用途的低效企业（牵头单位：市自然资源和规划局）；</w:t>
      </w:r>
    </w:p>
    <w:p>
      <w:pPr>
        <w:spacing w:line="580" w:lineRule="exact"/>
        <w:ind w:firstLine="640" w:firstLineChars="200"/>
        <w:rPr>
          <w:rFonts w:ascii="仿宋" w:hAnsi="仿宋" w:eastAsia="仿宋" w:cs="楷体_GB2312"/>
          <w:color w:val="000000"/>
          <w:kern w:val="0"/>
          <w:sz w:val="32"/>
          <w:szCs w:val="32"/>
          <w:shd w:val="clear" w:color="auto" w:fill="FFFFFF"/>
        </w:rPr>
      </w:pPr>
      <w:r>
        <w:rPr>
          <w:rFonts w:ascii="仿宋" w:hAnsi="仿宋" w:eastAsia="仿宋" w:cs="楷体_GB2312"/>
          <w:color w:val="000000"/>
          <w:kern w:val="0"/>
          <w:sz w:val="32"/>
          <w:szCs w:val="32"/>
          <w:shd w:val="clear" w:color="auto" w:fill="FFFFFF"/>
        </w:rPr>
        <w:t>9.低效用地类：厂房容积率过低、土地利用率不高、厂房长期闲置等明显未达到供地合同约定的，或存在供而未用、用而未尽、尽而未投、投而未达产的低效用地企业（项目）（牵头单位：市自然资源和规划局、市经信局）；</w:t>
      </w:r>
    </w:p>
    <w:p>
      <w:pPr>
        <w:spacing w:line="580" w:lineRule="exact"/>
        <w:ind w:firstLine="640" w:firstLineChars="200"/>
        <w:rPr>
          <w:rFonts w:ascii="仿宋" w:hAnsi="仿宋" w:eastAsia="仿宋" w:cs="楷体_GB2312"/>
          <w:color w:val="000000"/>
          <w:kern w:val="0"/>
          <w:sz w:val="32"/>
          <w:szCs w:val="32"/>
          <w:shd w:val="clear" w:color="auto" w:fill="FFFFFF"/>
        </w:rPr>
      </w:pPr>
      <w:r>
        <w:rPr>
          <w:rFonts w:ascii="仿宋" w:hAnsi="仿宋" w:eastAsia="仿宋" w:cs="楷体_GB2312"/>
          <w:color w:val="000000"/>
          <w:kern w:val="0"/>
          <w:sz w:val="32"/>
          <w:szCs w:val="32"/>
          <w:shd w:val="clear" w:color="auto" w:fill="FFFFFF"/>
        </w:rPr>
        <w:t>10.僵尸企业类：</w:t>
      </w:r>
      <w:r>
        <w:rPr>
          <w:rFonts w:ascii="仿宋" w:hAnsi="仿宋" w:eastAsia="仿宋" w:cs="宋体"/>
          <w:color w:val="000000"/>
          <w:sz w:val="32"/>
          <w:szCs w:val="32"/>
        </w:rPr>
        <w:t>连续1年以上停止生产经营活动且未缴纳增值税，或者资产负债率超过100%且连续3年以上亏损且主要靠政府补贴维持生产经营，或者连续3年以上欠薪、欠税、欠息、欠费，或者陷入“两链”风险导致资不抵债且解套无望、长期停产且复产无望、已有投资但投产无望的规模以上工业企业（</w:t>
      </w:r>
      <w:r>
        <w:rPr>
          <w:rFonts w:ascii="仿宋" w:hAnsi="仿宋" w:eastAsia="仿宋" w:cs="楷体_GB2312"/>
          <w:color w:val="000000"/>
          <w:kern w:val="0"/>
          <w:sz w:val="32"/>
          <w:szCs w:val="32"/>
          <w:shd w:val="clear" w:color="auto" w:fill="FFFFFF"/>
        </w:rPr>
        <w:t>牵头单位：</w:t>
      </w:r>
      <w:r>
        <w:rPr>
          <w:rFonts w:ascii="仿宋" w:hAnsi="仿宋" w:eastAsia="仿宋" w:cs="宋体"/>
          <w:color w:val="000000"/>
          <w:sz w:val="32"/>
          <w:szCs w:val="32"/>
        </w:rPr>
        <w:t>市经信局）；</w:t>
      </w:r>
    </w:p>
    <w:p>
      <w:pPr>
        <w:spacing w:line="580" w:lineRule="exact"/>
        <w:ind w:firstLine="640" w:firstLineChars="200"/>
        <w:rPr>
          <w:rFonts w:ascii="仿宋" w:hAnsi="仿宋" w:eastAsia="仿宋" w:cs="楷体_GB2312"/>
          <w:color w:val="000000"/>
          <w:kern w:val="0"/>
          <w:sz w:val="32"/>
          <w:szCs w:val="32"/>
          <w:shd w:val="clear" w:color="auto" w:fill="FFFFFF"/>
        </w:rPr>
      </w:pPr>
      <w:r>
        <w:rPr>
          <w:rFonts w:ascii="仿宋" w:hAnsi="仿宋" w:eastAsia="仿宋" w:cs="楷体_GB2312"/>
          <w:color w:val="000000"/>
          <w:kern w:val="0"/>
          <w:sz w:val="32"/>
          <w:szCs w:val="32"/>
          <w:shd w:val="clear" w:color="auto" w:fill="FFFFFF"/>
        </w:rPr>
        <w:t>11．其他低效类：没有包含在以上分类，停产、半停产或其他原因的低效企业（牵头单位：企业所属地乡镇街道、园区）。</w:t>
      </w:r>
    </w:p>
    <w:p>
      <w:pPr>
        <w:spacing w:line="580" w:lineRule="exact"/>
        <w:ind w:firstLine="643" w:firstLineChars="200"/>
        <w:rPr>
          <w:rFonts w:ascii="宋体" w:hAnsi="宋体" w:cs="楷体_GB2312"/>
          <w:b/>
          <w:color w:val="000000"/>
          <w:sz w:val="32"/>
          <w:szCs w:val="32"/>
        </w:rPr>
      </w:pPr>
      <w:r>
        <w:rPr>
          <w:rFonts w:hint="eastAsia" w:ascii="宋体" w:hAnsi="宋体" w:cs="楷体_GB2312"/>
          <w:b/>
          <w:color w:val="000000"/>
          <w:sz w:val="32"/>
          <w:szCs w:val="32"/>
        </w:rPr>
        <w:t>三、工作流程</w:t>
      </w:r>
    </w:p>
    <w:p>
      <w:pPr>
        <w:shd w:val="clear" w:color="auto" w:fill="FFFFFF"/>
        <w:spacing w:line="580" w:lineRule="exact"/>
        <w:ind w:firstLine="640" w:firstLineChars="200"/>
        <w:rPr>
          <w:rFonts w:ascii="仿宋" w:hAnsi="仿宋" w:eastAsia="仿宋" w:cs="仿宋_GB2312"/>
          <w:color w:val="000000"/>
          <w:kern w:val="0"/>
          <w:sz w:val="32"/>
          <w:szCs w:val="32"/>
          <w:shd w:val="clear" w:color="auto" w:fill="FFFFFF"/>
        </w:rPr>
      </w:pPr>
      <w:r>
        <w:rPr>
          <w:rFonts w:ascii="仿宋" w:hAnsi="仿宋" w:eastAsia="仿宋" w:cs="仿宋_GB2312"/>
          <w:color w:val="000000"/>
          <w:kern w:val="0"/>
          <w:sz w:val="32"/>
          <w:szCs w:val="32"/>
          <w:shd w:val="clear" w:color="auto" w:fill="FFFFFF"/>
        </w:rPr>
        <w:t>（一）开展税收风险管理、确定调查名单</w:t>
      </w:r>
    </w:p>
    <w:p>
      <w:pPr>
        <w:spacing w:line="580" w:lineRule="exact"/>
        <w:ind w:firstLine="640" w:firstLineChars="200"/>
        <w:rPr>
          <w:rFonts w:ascii="仿宋" w:hAnsi="仿宋" w:eastAsia="仿宋"/>
          <w:color w:val="000000"/>
          <w:sz w:val="32"/>
          <w:szCs w:val="32"/>
        </w:rPr>
      </w:pPr>
      <w:r>
        <w:rPr>
          <w:rFonts w:ascii="仿宋" w:hAnsi="仿宋" w:eastAsia="仿宋"/>
          <w:color w:val="000000"/>
          <w:sz w:val="32"/>
          <w:szCs w:val="32"/>
        </w:rPr>
        <w:t>1.提出名单。</w:t>
      </w:r>
      <w:r>
        <w:rPr>
          <w:rFonts w:hint="eastAsia" w:ascii="仿宋" w:hAnsi="仿宋" w:eastAsia="仿宋"/>
          <w:color w:val="000000"/>
          <w:sz w:val="32"/>
          <w:szCs w:val="32"/>
        </w:rPr>
        <w:t>市</w:t>
      </w:r>
      <w:r>
        <w:rPr>
          <w:rFonts w:ascii="仿宋" w:hAnsi="仿宋" w:eastAsia="仿宋"/>
          <w:color w:val="000000"/>
          <w:sz w:val="32"/>
          <w:szCs w:val="32"/>
        </w:rPr>
        <w:t>亩均办结合当地低效企业分类标准和当年综合评价结果，汇总、确定低效企业名单，将低效企业名单及基本情况（详见附件）交当地税务部门列入税收风险管理。</w:t>
      </w:r>
    </w:p>
    <w:p>
      <w:pPr>
        <w:spacing w:line="580" w:lineRule="exact"/>
        <w:ind w:firstLine="640" w:firstLineChars="200"/>
        <w:rPr>
          <w:rFonts w:ascii="仿宋" w:hAnsi="仿宋" w:eastAsia="仿宋"/>
          <w:color w:val="000000"/>
          <w:sz w:val="32"/>
          <w:szCs w:val="32"/>
        </w:rPr>
      </w:pPr>
      <w:r>
        <w:rPr>
          <w:rFonts w:ascii="仿宋" w:hAnsi="仿宋" w:eastAsia="仿宋"/>
          <w:color w:val="000000"/>
          <w:sz w:val="32"/>
          <w:szCs w:val="32"/>
        </w:rPr>
        <w:t>2.税收风险管理。税务部门根据税收风险模型进行风险扫描和分析识别，并对存在涉税风险的企业开展风险应对工作，涉及缴税费的在附件表格中予以更正和注明并返还给亩均办。</w:t>
      </w:r>
    </w:p>
    <w:p>
      <w:pPr>
        <w:shd w:val="clear" w:color="auto" w:fill="FFFFFF"/>
        <w:spacing w:line="580" w:lineRule="exact"/>
        <w:ind w:firstLine="640" w:firstLineChars="200"/>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部署落实</w:t>
      </w:r>
      <w:r>
        <w:rPr>
          <w:rFonts w:ascii="仿宋" w:hAnsi="仿宋" w:eastAsia="仿宋"/>
          <w:color w:val="000000"/>
          <w:sz w:val="32"/>
          <w:szCs w:val="32"/>
        </w:rPr>
        <w:t>：</w:t>
      </w:r>
      <w:r>
        <w:rPr>
          <w:rFonts w:hint="eastAsia" w:ascii="仿宋" w:hAnsi="仿宋" w:eastAsia="仿宋"/>
          <w:color w:val="000000"/>
          <w:sz w:val="32"/>
          <w:szCs w:val="32"/>
        </w:rPr>
        <w:t>市</w:t>
      </w:r>
      <w:r>
        <w:rPr>
          <w:rFonts w:ascii="仿宋" w:hAnsi="仿宋" w:eastAsia="仿宋"/>
          <w:color w:val="000000"/>
          <w:sz w:val="32"/>
          <w:szCs w:val="32"/>
        </w:rPr>
        <w:t>亩均办</w:t>
      </w:r>
      <w:r>
        <w:rPr>
          <w:rFonts w:hint="eastAsia" w:ascii="仿宋" w:hAnsi="仿宋" w:eastAsia="仿宋"/>
          <w:color w:val="000000"/>
          <w:sz w:val="32"/>
          <w:szCs w:val="32"/>
        </w:rPr>
        <w:t>召开各镇（街道、园区）工作部署会，并将</w:t>
      </w:r>
      <w:r>
        <w:rPr>
          <w:rFonts w:ascii="仿宋" w:hAnsi="仿宋" w:eastAsia="仿宋"/>
          <w:color w:val="000000"/>
          <w:sz w:val="32"/>
          <w:szCs w:val="32"/>
        </w:rPr>
        <w:t>低效企业名单分发至各镇（</w:t>
      </w:r>
      <w:r>
        <w:rPr>
          <w:rFonts w:hint="eastAsia" w:ascii="仿宋" w:hAnsi="仿宋" w:eastAsia="仿宋"/>
          <w:color w:val="000000"/>
          <w:sz w:val="32"/>
          <w:szCs w:val="32"/>
        </w:rPr>
        <w:t>街道、</w:t>
      </w:r>
      <w:r>
        <w:rPr>
          <w:rFonts w:ascii="仿宋" w:hAnsi="仿宋" w:eastAsia="仿宋"/>
          <w:color w:val="000000"/>
          <w:sz w:val="32"/>
          <w:szCs w:val="32"/>
        </w:rPr>
        <w:t>园区）。</w:t>
      </w:r>
    </w:p>
    <w:p>
      <w:pPr>
        <w:shd w:val="clear" w:color="auto" w:fill="FFFFFF"/>
        <w:spacing w:line="580" w:lineRule="exact"/>
        <w:ind w:firstLine="640" w:firstLineChars="200"/>
        <w:rPr>
          <w:rFonts w:ascii="仿宋" w:hAnsi="仿宋" w:eastAsia="仿宋" w:cs="仿宋_GB2312"/>
          <w:color w:val="000000"/>
          <w:kern w:val="0"/>
          <w:sz w:val="32"/>
          <w:szCs w:val="32"/>
          <w:shd w:val="clear" w:color="auto" w:fill="FFFFFF"/>
        </w:rPr>
      </w:pPr>
      <w:r>
        <w:rPr>
          <w:rFonts w:ascii="仿宋" w:hAnsi="仿宋" w:eastAsia="仿宋" w:cs="仿宋_GB2312"/>
          <w:color w:val="000000"/>
          <w:kern w:val="0"/>
          <w:sz w:val="32"/>
          <w:szCs w:val="32"/>
          <w:shd w:val="clear" w:color="auto" w:fill="FFFFFF"/>
        </w:rPr>
        <w:t>（二）开展专项调查，摸清低效原因</w:t>
      </w:r>
    </w:p>
    <w:p>
      <w:pPr>
        <w:shd w:val="clear" w:color="auto" w:fill="FFFFFF"/>
        <w:spacing w:line="580" w:lineRule="exact"/>
        <w:ind w:firstLine="640" w:firstLineChars="200"/>
        <w:rPr>
          <w:rFonts w:ascii="仿宋" w:hAnsi="仿宋" w:eastAsia="仿宋"/>
          <w:color w:val="000000"/>
          <w:kern w:val="0"/>
          <w:sz w:val="32"/>
          <w:szCs w:val="32"/>
          <w:shd w:val="clear" w:color="auto" w:fill="FFFFFF"/>
        </w:rPr>
      </w:pPr>
      <w:r>
        <w:rPr>
          <w:rFonts w:ascii="仿宋" w:hAnsi="仿宋" w:eastAsia="仿宋"/>
          <w:color w:val="000000"/>
          <w:kern w:val="0"/>
          <w:sz w:val="32"/>
          <w:szCs w:val="32"/>
          <w:shd w:val="clear" w:color="auto" w:fill="FFFFFF"/>
        </w:rPr>
        <w:t>1.开展调查。各镇（街道、园区）对低效企业开展调查，根据低效企业分类标准，重点了解企业主发展思路及打算，</w:t>
      </w:r>
      <w:r>
        <w:rPr>
          <w:rFonts w:hint="eastAsia" w:ascii="仿宋" w:hAnsi="仿宋" w:eastAsia="仿宋"/>
          <w:sz w:val="32"/>
          <w:szCs w:val="32"/>
        </w:rPr>
        <w:t>摸清低效企业基本情况</w:t>
      </w:r>
      <w:r>
        <w:rPr>
          <w:rFonts w:ascii="仿宋" w:hAnsi="仿宋" w:eastAsia="仿宋"/>
          <w:sz w:val="32"/>
          <w:szCs w:val="32"/>
        </w:rPr>
        <w:t>和成因，调查了解是否存在需政府帮扶解决的问题和困难，是否存在安全生产、环境保护、节能减排不达标等问题，是否属于落后产能淘汰或其他政策性限制发展项目等。调查后</w:t>
      </w:r>
      <w:r>
        <w:rPr>
          <w:rFonts w:ascii="仿宋" w:hAnsi="仿宋" w:eastAsia="仿宋"/>
          <w:color w:val="000000"/>
          <w:kern w:val="0"/>
          <w:sz w:val="32"/>
          <w:szCs w:val="32"/>
          <w:shd w:val="clear" w:color="auto" w:fill="FFFFFF"/>
        </w:rPr>
        <w:t>组织企业主（或企业代表）、调查人员签字，并建立调查档案（填入附件表格中）。</w:t>
      </w:r>
    </w:p>
    <w:p>
      <w:pPr>
        <w:shd w:val="clear" w:color="auto" w:fill="FFFFFF"/>
        <w:spacing w:line="580" w:lineRule="exact"/>
        <w:ind w:firstLine="640" w:firstLineChars="200"/>
        <w:rPr>
          <w:rFonts w:ascii="仿宋" w:hAnsi="仿宋" w:eastAsia="仿宋"/>
          <w:color w:val="000000"/>
          <w:kern w:val="0"/>
          <w:sz w:val="32"/>
          <w:szCs w:val="32"/>
          <w:shd w:val="clear" w:color="auto" w:fill="FFFFFF"/>
        </w:rPr>
      </w:pPr>
      <w:r>
        <w:rPr>
          <w:rFonts w:ascii="仿宋" w:hAnsi="仿宋" w:eastAsia="仿宋"/>
          <w:color w:val="000000"/>
          <w:kern w:val="0"/>
          <w:sz w:val="32"/>
          <w:szCs w:val="32"/>
          <w:shd w:val="clear" w:color="auto" w:fill="FFFFFF"/>
        </w:rPr>
        <w:t>2.确定分类。各镇（街道、园区）根据企业基本情况</w:t>
      </w:r>
      <w:r>
        <w:rPr>
          <w:rFonts w:hint="eastAsia" w:ascii="仿宋" w:hAnsi="仿宋" w:eastAsia="仿宋"/>
          <w:color w:val="000000"/>
          <w:kern w:val="0"/>
          <w:sz w:val="32"/>
          <w:szCs w:val="32"/>
          <w:shd w:val="clear" w:color="auto" w:fill="FFFFFF"/>
        </w:rPr>
        <w:t>和</w:t>
      </w:r>
      <w:r>
        <w:rPr>
          <w:rFonts w:ascii="仿宋" w:hAnsi="仿宋" w:eastAsia="仿宋"/>
          <w:color w:val="000000"/>
          <w:kern w:val="0"/>
          <w:sz w:val="32"/>
          <w:szCs w:val="32"/>
          <w:shd w:val="clear" w:color="auto" w:fill="FFFFFF"/>
        </w:rPr>
        <w:t>企业低效成因，按低效企业的分类标准对低效企业进行定位归类，根据定位归类情况提出负责整治提升的牵头责任部门和配合部门的建议。</w:t>
      </w:r>
    </w:p>
    <w:p>
      <w:pPr>
        <w:shd w:val="clear" w:color="auto" w:fill="FFFFFF"/>
        <w:spacing w:line="580" w:lineRule="exact"/>
        <w:ind w:firstLine="640" w:firstLineChars="200"/>
        <w:rPr>
          <w:rFonts w:ascii="仿宋" w:hAnsi="仿宋" w:eastAsia="仿宋"/>
          <w:color w:val="000000"/>
          <w:kern w:val="0"/>
          <w:sz w:val="32"/>
          <w:szCs w:val="32"/>
          <w:shd w:val="clear" w:color="auto" w:fill="FFFFFF"/>
        </w:rPr>
      </w:pPr>
      <w:r>
        <w:rPr>
          <w:rFonts w:ascii="仿宋" w:hAnsi="仿宋" w:eastAsia="仿宋"/>
          <w:color w:val="000000"/>
          <w:kern w:val="0"/>
          <w:sz w:val="32"/>
          <w:szCs w:val="32"/>
          <w:shd w:val="clear" w:color="auto" w:fill="FFFFFF"/>
        </w:rPr>
        <w:t>3.提交表格。各镇（街道、园区）将附件</w:t>
      </w:r>
      <w:r>
        <w:rPr>
          <w:rFonts w:hint="eastAsia" w:ascii="仿宋" w:hAnsi="仿宋" w:eastAsia="仿宋"/>
          <w:color w:val="000000"/>
          <w:kern w:val="0"/>
          <w:sz w:val="32"/>
          <w:szCs w:val="32"/>
          <w:shd w:val="clear" w:color="auto" w:fill="FFFFFF"/>
        </w:rPr>
        <w:t>2和附件3在</w:t>
      </w:r>
      <w:r>
        <w:rPr>
          <w:rFonts w:ascii="仿宋" w:hAnsi="仿宋" w:eastAsia="仿宋"/>
          <w:color w:val="000000"/>
          <w:kern w:val="0"/>
          <w:sz w:val="32"/>
          <w:szCs w:val="32"/>
          <w:shd w:val="clear" w:color="auto" w:fill="FFFFFF"/>
        </w:rPr>
        <w:t>规定时限前报送至</w:t>
      </w:r>
      <w:r>
        <w:rPr>
          <w:rFonts w:hint="eastAsia" w:ascii="仿宋" w:hAnsi="仿宋" w:eastAsia="仿宋"/>
          <w:color w:val="000000"/>
          <w:kern w:val="0"/>
          <w:sz w:val="32"/>
          <w:szCs w:val="32"/>
          <w:shd w:val="clear" w:color="auto" w:fill="FFFFFF"/>
        </w:rPr>
        <w:t>市</w:t>
      </w:r>
      <w:r>
        <w:rPr>
          <w:rFonts w:ascii="仿宋" w:hAnsi="仿宋" w:eastAsia="仿宋"/>
          <w:color w:val="000000"/>
          <w:kern w:val="0"/>
          <w:sz w:val="32"/>
          <w:szCs w:val="32"/>
          <w:shd w:val="clear" w:color="auto" w:fill="FFFFFF"/>
        </w:rPr>
        <w:t>亩均办。</w:t>
      </w:r>
    </w:p>
    <w:p>
      <w:pPr>
        <w:shd w:val="clear" w:color="auto" w:fill="FFFFFF"/>
        <w:spacing w:line="580" w:lineRule="exact"/>
        <w:ind w:firstLine="640" w:firstLineChars="200"/>
        <w:rPr>
          <w:rFonts w:ascii="仿宋" w:hAnsi="仿宋" w:eastAsia="仿宋"/>
          <w:color w:val="000000"/>
          <w:kern w:val="0"/>
          <w:sz w:val="32"/>
          <w:szCs w:val="32"/>
          <w:shd w:val="clear" w:color="auto" w:fill="FFFFFF"/>
        </w:rPr>
      </w:pPr>
      <w:r>
        <w:rPr>
          <w:rFonts w:ascii="仿宋" w:hAnsi="仿宋" w:eastAsia="仿宋"/>
          <w:color w:val="000000"/>
          <w:kern w:val="0"/>
          <w:sz w:val="32"/>
          <w:szCs w:val="32"/>
          <w:shd w:val="clear" w:color="auto" w:fill="FFFFFF"/>
        </w:rPr>
        <w:t>在镇（街道、园区）、相关部门组织的专项调查中，要同时注意共享已有、或者依法依规在现场提取、保存低效企业的相关事实或证明材料，为下一步开展提升达标提供依据。相关资料和证明</w:t>
      </w:r>
      <w:r>
        <w:rPr>
          <w:rFonts w:hint="eastAsia" w:ascii="仿宋" w:hAnsi="仿宋" w:eastAsia="仿宋"/>
          <w:color w:val="000000"/>
          <w:kern w:val="0"/>
          <w:sz w:val="32"/>
          <w:szCs w:val="32"/>
          <w:shd w:val="clear" w:color="auto" w:fill="FFFFFF"/>
        </w:rPr>
        <w:t>报市</w:t>
      </w:r>
      <w:r>
        <w:rPr>
          <w:rFonts w:ascii="仿宋" w:hAnsi="仿宋" w:eastAsia="仿宋"/>
          <w:color w:val="000000"/>
          <w:kern w:val="0"/>
          <w:sz w:val="32"/>
          <w:szCs w:val="32"/>
          <w:shd w:val="clear" w:color="auto" w:fill="FFFFFF"/>
        </w:rPr>
        <w:t>亩均办存档。</w:t>
      </w:r>
    </w:p>
    <w:p>
      <w:pPr>
        <w:shd w:val="clear" w:color="auto" w:fill="FFFFFF"/>
        <w:spacing w:line="580" w:lineRule="exact"/>
        <w:ind w:firstLine="640" w:firstLineChars="200"/>
        <w:rPr>
          <w:rFonts w:ascii="仿宋" w:hAnsi="仿宋" w:eastAsia="仿宋" w:cs="仿宋_GB2312"/>
          <w:color w:val="000000"/>
          <w:kern w:val="0"/>
          <w:sz w:val="32"/>
          <w:szCs w:val="32"/>
          <w:shd w:val="clear" w:color="auto" w:fill="FFFFFF"/>
        </w:rPr>
      </w:pPr>
      <w:r>
        <w:rPr>
          <w:rFonts w:ascii="仿宋" w:hAnsi="仿宋" w:eastAsia="仿宋" w:cs="仿宋_GB2312"/>
          <w:color w:val="000000"/>
          <w:kern w:val="0"/>
          <w:sz w:val="32"/>
          <w:szCs w:val="32"/>
          <w:shd w:val="clear" w:color="auto" w:fill="FFFFFF"/>
        </w:rPr>
        <w:t>（三）进行全面部署，开展提升达标</w:t>
      </w:r>
    </w:p>
    <w:p>
      <w:pPr>
        <w:spacing w:line="58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1.制定方案。</w:t>
      </w:r>
      <w:r>
        <w:rPr>
          <w:rFonts w:hint="eastAsia" w:ascii="仿宋" w:hAnsi="仿宋" w:eastAsia="仿宋" w:cs="宋体"/>
          <w:color w:val="000000"/>
          <w:sz w:val="32"/>
          <w:szCs w:val="32"/>
        </w:rPr>
        <w:t>市</w:t>
      </w:r>
      <w:r>
        <w:rPr>
          <w:rFonts w:ascii="仿宋" w:hAnsi="仿宋" w:eastAsia="仿宋" w:cs="宋体"/>
          <w:color w:val="000000"/>
          <w:sz w:val="32"/>
          <w:szCs w:val="32"/>
        </w:rPr>
        <w:t>亩均办对</w:t>
      </w:r>
      <w:r>
        <w:rPr>
          <w:rFonts w:hint="eastAsia" w:ascii="仿宋" w:hAnsi="仿宋" w:eastAsia="仿宋"/>
          <w:color w:val="000000"/>
          <w:kern w:val="0"/>
          <w:sz w:val="32"/>
          <w:szCs w:val="32"/>
          <w:shd w:val="clear" w:color="auto" w:fill="FFFFFF"/>
        </w:rPr>
        <w:t>各</w:t>
      </w:r>
      <w:r>
        <w:rPr>
          <w:rFonts w:ascii="仿宋" w:hAnsi="仿宋" w:eastAsia="仿宋"/>
          <w:color w:val="000000"/>
          <w:kern w:val="0"/>
          <w:sz w:val="32"/>
          <w:szCs w:val="32"/>
          <w:shd w:val="clear" w:color="auto" w:fill="FFFFFF"/>
        </w:rPr>
        <w:t>镇（街道、园区）</w:t>
      </w:r>
      <w:r>
        <w:rPr>
          <w:rFonts w:ascii="仿宋" w:hAnsi="仿宋" w:eastAsia="仿宋" w:cs="宋体"/>
          <w:color w:val="000000"/>
          <w:sz w:val="32"/>
          <w:szCs w:val="32"/>
        </w:rPr>
        <w:t>上报的调查情况进行汇总、梳理，按照</w:t>
      </w:r>
      <w:r>
        <w:rPr>
          <w:rFonts w:hint="eastAsia" w:ascii="仿宋" w:hAnsi="仿宋" w:eastAsia="仿宋"/>
          <w:color w:val="000000"/>
          <w:kern w:val="0"/>
          <w:sz w:val="32"/>
          <w:szCs w:val="32"/>
          <w:shd w:val="clear" w:color="auto" w:fill="FFFFFF"/>
        </w:rPr>
        <w:t>各</w:t>
      </w:r>
      <w:r>
        <w:rPr>
          <w:rFonts w:ascii="仿宋" w:hAnsi="仿宋" w:eastAsia="仿宋"/>
          <w:color w:val="000000"/>
          <w:kern w:val="0"/>
          <w:sz w:val="32"/>
          <w:szCs w:val="32"/>
          <w:shd w:val="clear" w:color="auto" w:fill="FFFFFF"/>
        </w:rPr>
        <w:t>镇（街道、园区）</w:t>
      </w:r>
      <w:r>
        <w:rPr>
          <w:rFonts w:ascii="仿宋" w:hAnsi="仿宋" w:eastAsia="仿宋" w:cs="宋体"/>
          <w:color w:val="000000"/>
          <w:sz w:val="32"/>
          <w:szCs w:val="32"/>
        </w:rPr>
        <w:t>属地处置与相关责任部门牵头负责相结合的原则，</w:t>
      </w:r>
      <w:r>
        <w:rPr>
          <w:rFonts w:ascii="仿宋" w:hAnsi="仿宋" w:eastAsia="仿宋"/>
          <w:color w:val="000000"/>
          <w:kern w:val="32"/>
          <w:sz w:val="32"/>
          <w:szCs w:val="32"/>
        </w:rPr>
        <w:t>明确当年提升达标的主要目标、重点任务、进度安排、责任分工和政策措施，</w:t>
      </w:r>
      <w:r>
        <w:rPr>
          <w:rFonts w:ascii="仿宋" w:hAnsi="仿宋" w:eastAsia="仿宋" w:cs="宋体"/>
          <w:color w:val="000000"/>
          <w:sz w:val="32"/>
          <w:szCs w:val="32"/>
        </w:rPr>
        <w:t>并报</w:t>
      </w:r>
      <w:r>
        <w:rPr>
          <w:rFonts w:hint="eastAsia" w:ascii="仿宋" w:hAnsi="仿宋" w:eastAsia="仿宋" w:cs="宋体"/>
          <w:color w:val="000000"/>
          <w:sz w:val="32"/>
          <w:szCs w:val="32"/>
        </w:rPr>
        <w:t>市</w:t>
      </w:r>
      <w:r>
        <w:rPr>
          <w:rFonts w:ascii="仿宋" w:hAnsi="仿宋" w:eastAsia="仿宋" w:cs="宋体"/>
          <w:color w:val="000000"/>
          <w:sz w:val="32"/>
          <w:szCs w:val="32"/>
        </w:rPr>
        <w:t>政府。</w:t>
      </w:r>
    </w:p>
    <w:p>
      <w:pPr>
        <w:spacing w:line="58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2.提升达标。各</w:t>
      </w:r>
      <w:r>
        <w:rPr>
          <w:rFonts w:ascii="仿宋" w:hAnsi="仿宋" w:eastAsia="仿宋"/>
          <w:color w:val="000000"/>
          <w:kern w:val="0"/>
          <w:sz w:val="32"/>
          <w:szCs w:val="32"/>
          <w:shd w:val="clear" w:color="auto" w:fill="FFFFFF"/>
        </w:rPr>
        <w:t>镇（街道、园区）</w:t>
      </w:r>
      <w:r>
        <w:rPr>
          <w:rFonts w:ascii="仿宋" w:hAnsi="仿宋" w:eastAsia="仿宋" w:cs="宋体"/>
          <w:color w:val="000000"/>
          <w:sz w:val="32"/>
          <w:szCs w:val="32"/>
        </w:rPr>
        <w:t>、牵头责任部门推进落实提升达标。对无故拖延提升达标的低效企业，要依法依规、充分运用行政执法、环保督查、安全检查、税务</w:t>
      </w:r>
      <w:r>
        <w:rPr>
          <w:rFonts w:hint="eastAsia" w:ascii="仿宋" w:hAnsi="仿宋" w:eastAsia="仿宋" w:cs="宋体"/>
          <w:color w:val="000000"/>
          <w:sz w:val="32"/>
          <w:szCs w:val="32"/>
        </w:rPr>
        <w:t>检查</w:t>
      </w:r>
      <w:r>
        <w:rPr>
          <w:rFonts w:ascii="仿宋" w:hAnsi="仿宋" w:eastAsia="仿宋" w:cs="宋体"/>
          <w:color w:val="000000"/>
          <w:sz w:val="32"/>
          <w:szCs w:val="32"/>
        </w:rPr>
        <w:t>、信贷管控、要素调控等，帮助和促进企业完成提升达标。</w:t>
      </w:r>
    </w:p>
    <w:p>
      <w:pPr>
        <w:shd w:val="clear" w:color="auto" w:fill="FFFFFF"/>
        <w:spacing w:line="580" w:lineRule="exact"/>
        <w:ind w:firstLine="640" w:firstLineChars="200"/>
        <w:rPr>
          <w:rFonts w:ascii="仿宋" w:hAnsi="仿宋" w:eastAsia="仿宋"/>
          <w:color w:val="000000"/>
          <w:kern w:val="0"/>
          <w:sz w:val="32"/>
          <w:szCs w:val="32"/>
          <w:shd w:val="clear" w:color="auto" w:fill="FFFFFF"/>
        </w:rPr>
      </w:pPr>
      <w:r>
        <w:rPr>
          <w:rFonts w:ascii="仿宋" w:hAnsi="仿宋" w:eastAsia="仿宋"/>
          <w:color w:val="000000"/>
          <w:kern w:val="0"/>
          <w:sz w:val="32"/>
          <w:szCs w:val="32"/>
          <w:shd w:val="clear" w:color="auto" w:fill="FFFFFF"/>
        </w:rPr>
        <w:t>3.归档上报。各</w:t>
      </w:r>
      <w:r>
        <w:rPr>
          <w:rFonts w:hint="eastAsia" w:ascii="仿宋" w:hAnsi="仿宋" w:eastAsia="仿宋"/>
          <w:color w:val="000000"/>
          <w:kern w:val="0"/>
          <w:sz w:val="32"/>
          <w:szCs w:val="32"/>
          <w:shd w:val="clear" w:color="auto" w:fill="FFFFFF"/>
        </w:rPr>
        <w:t>镇（街道、园区）</w:t>
      </w:r>
      <w:r>
        <w:rPr>
          <w:rFonts w:ascii="仿宋" w:hAnsi="仿宋" w:eastAsia="仿宋"/>
          <w:color w:val="000000"/>
          <w:sz w:val="32"/>
          <w:szCs w:val="32"/>
        </w:rPr>
        <w:t>每</w:t>
      </w:r>
      <w:r>
        <w:rPr>
          <w:rFonts w:hint="eastAsia" w:ascii="仿宋" w:hAnsi="仿宋" w:eastAsia="仿宋"/>
          <w:color w:val="000000"/>
          <w:sz w:val="32"/>
          <w:szCs w:val="32"/>
        </w:rPr>
        <w:t>月</w:t>
      </w:r>
      <w:r>
        <w:rPr>
          <w:rFonts w:ascii="仿宋" w:hAnsi="仿宋" w:eastAsia="仿宋"/>
          <w:color w:val="000000"/>
          <w:spacing w:val="-6"/>
          <w:sz w:val="32"/>
          <w:szCs w:val="32"/>
        </w:rPr>
        <w:t>向市亩均办上报处置完成情况。</w:t>
      </w:r>
      <w:r>
        <w:rPr>
          <w:rFonts w:ascii="仿宋" w:hAnsi="仿宋" w:eastAsia="仿宋"/>
          <w:color w:val="000000"/>
          <w:kern w:val="0"/>
          <w:sz w:val="32"/>
          <w:szCs w:val="32"/>
          <w:shd w:val="clear" w:color="auto" w:fill="FFFFFF"/>
        </w:rPr>
        <w:t>低效企业完成提升达标后，应在台账中及时归档。</w:t>
      </w:r>
    </w:p>
    <w:p>
      <w:pPr>
        <w:spacing w:line="580" w:lineRule="exact"/>
        <w:ind w:firstLine="643" w:firstLineChars="200"/>
        <w:rPr>
          <w:rFonts w:ascii="宋体" w:hAnsi="宋体" w:cs="楷体_GB2312"/>
          <w:b/>
          <w:color w:val="000000"/>
          <w:sz w:val="32"/>
          <w:szCs w:val="32"/>
        </w:rPr>
      </w:pPr>
      <w:r>
        <w:rPr>
          <w:rFonts w:hint="eastAsia" w:ascii="宋体" w:hAnsi="宋体" w:cs="楷体_GB2312"/>
          <w:b/>
          <w:color w:val="000000"/>
          <w:sz w:val="32"/>
          <w:szCs w:val="32"/>
        </w:rPr>
        <w:t>四、主要举措</w:t>
      </w:r>
    </w:p>
    <w:p>
      <w:pPr>
        <w:spacing w:line="580" w:lineRule="exact"/>
        <w:ind w:firstLine="640" w:firstLineChars="200"/>
        <w:rPr>
          <w:rFonts w:ascii="仿宋" w:hAnsi="仿宋" w:eastAsia="仿宋"/>
          <w:color w:val="000000"/>
          <w:kern w:val="32"/>
          <w:sz w:val="32"/>
          <w:szCs w:val="32"/>
        </w:rPr>
      </w:pPr>
      <w:r>
        <w:rPr>
          <w:rFonts w:ascii="仿宋" w:hAnsi="仿宋" w:eastAsia="仿宋"/>
          <w:color w:val="000000"/>
          <w:kern w:val="32"/>
          <w:sz w:val="32"/>
          <w:szCs w:val="32"/>
        </w:rPr>
        <w:t>按照“帮扶提升一批、兼并重组一批、合作转移一批、倒逼规范一批、依法关停一批”的基本路径，实施分类指导、精准服务，持之以恒深入推进低效企业提升达标。</w:t>
      </w:r>
    </w:p>
    <w:p>
      <w:pPr>
        <w:spacing w:line="580" w:lineRule="exact"/>
        <w:ind w:firstLine="640" w:firstLineChars="200"/>
        <w:rPr>
          <w:rFonts w:ascii="仿宋" w:hAnsi="仿宋" w:eastAsia="仿宋"/>
          <w:sz w:val="32"/>
          <w:szCs w:val="32"/>
        </w:rPr>
      </w:pPr>
      <w:r>
        <w:rPr>
          <w:rFonts w:ascii="仿宋" w:hAnsi="仿宋" w:eastAsia="仿宋"/>
          <w:color w:val="000000"/>
          <w:kern w:val="32"/>
          <w:sz w:val="32"/>
          <w:szCs w:val="32"/>
        </w:rPr>
        <w:t>（一）</w:t>
      </w:r>
      <w:r>
        <w:rPr>
          <w:rFonts w:hint="eastAsia" w:ascii="仿宋" w:hAnsi="仿宋" w:eastAsia="仿宋"/>
          <w:sz w:val="32"/>
          <w:szCs w:val="32"/>
        </w:rPr>
        <w:t>精准帮扶发展。</w:t>
      </w:r>
      <w:r>
        <w:rPr>
          <w:rFonts w:ascii="仿宋" w:hAnsi="仿宋" w:eastAsia="仿宋"/>
          <w:sz w:val="32"/>
          <w:szCs w:val="32"/>
        </w:rPr>
        <w:t>各地要结合“三服务”活动，组织专门力量对低效企业开展“一对一”面谈沟通，帮助低效企业找出“病因”，对症施策。梳理一批成长潜力大、符合产业发展方向但暂时存在困难的低效企业，收集企业发展中遇到的资金、技术、人才等问题，形成问题清单，逐一制定解决方案，分级分类抓好难题破解。对生产经营正常、但实缴税收明显不合理的低效企业，开展税收定向纳税辅导，通过柔性税收管理，引导低效企业进行自我评估和纠正。</w:t>
      </w:r>
    </w:p>
    <w:p>
      <w:pPr>
        <w:spacing w:line="580" w:lineRule="exact"/>
        <w:ind w:firstLine="640" w:firstLineChars="200"/>
        <w:rPr>
          <w:rFonts w:ascii="仿宋" w:hAnsi="仿宋" w:eastAsia="仿宋"/>
          <w:color w:val="000000"/>
          <w:kern w:val="32"/>
          <w:sz w:val="32"/>
          <w:szCs w:val="32"/>
        </w:rPr>
      </w:pPr>
      <w:r>
        <w:rPr>
          <w:rFonts w:ascii="仿宋" w:hAnsi="仿宋" w:eastAsia="仿宋"/>
          <w:color w:val="000000"/>
          <w:kern w:val="32"/>
          <w:sz w:val="32"/>
          <w:szCs w:val="32"/>
        </w:rPr>
        <w:t>（二）加快提质发展。在全市积极推广“提高亩均效益十法”：一是腾笼换鸟法。将低效土地和厂房，通过腾笼换鸟招引高产出项目和企业。二是机器换人法。通过实施“机器人+”“互联网+”，对企业进行智能化改造，提高劳动生产率。三是空间换地法。鼓励企业向天空、地下要空间，实施“零土地”技术改造，提高企业建筑容积率和空间利用效率。四是电商换市法。借助线上线下融合，实现商业模式创新。五是品牌增值法。实施“三名”工程，全面提升品牌价值和核心竞争力。六是兼并提效法。深入实施市政府有关推动企业兼并重组的政策意见，推动有条件企业通过多种形式开展兼并重组。七是管理增效法，提高集约化管理水平。八是循环利用法。九是设计赋值法。充分运用工业设计，提高产品竞争力，赋予产品新价值。十是新品迭代法。加快新产品研发，推进产品迭代升级。</w:t>
      </w:r>
    </w:p>
    <w:p>
      <w:pPr>
        <w:spacing w:line="580" w:lineRule="exact"/>
        <w:ind w:firstLine="640" w:firstLineChars="200"/>
        <w:rPr>
          <w:rFonts w:ascii="仿宋" w:hAnsi="仿宋" w:eastAsia="仿宋"/>
          <w:color w:val="000000"/>
          <w:kern w:val="32"/>
          <w:sz w:val="32"/>
          <w:szCs w:val="32"/>
        </w:rPr>
      </w:pPr>
      <w:r>
        <w:rPr>
          <w:rFonts w:ascii="仿宋" w:hAnsi="仿宋" w:eastAsia="仿宋"/>
          <w:color w:val="000000"/>
          <w:kern w:val="32"/>
          <w:sz w:val="32"/>
          <w:szCs w:val="32"/>
        </w:rPr>
        <w:t>（三）整合入园发展。严格限制园区外企业单独供地，对园区外企业单独供地实行区县（市）、市两级审批。</w:t>
      </w:r>
      <w:r>
        <w:rPr>
          <w:rFonts w:ascii="仿宋" w:hAnsi="仿宋" w:eastAsia="仿宋"/>
          <w:sz w:val="32"/>
          <w:szCs w:val="32"/>
        </w:rPr>
        <w:t>用地20亩以下或投资5000万元以下的新增制造业项目主要依靠“退二进二”、进入小微企业园等方式保障发展，不再单独供地。</w:t>
      </w:r>
      <w:r>
        <w:rPr>
          <w:rFonts w:hint="eastAsia" w:ascii="仿宋" w:hAnsi="仿宋" w:eastAsia="仿宋"/>
          <w:sz w:val="32"/>
          <w:szCs w:val="32"/>
        </w:rPr>
        <w:t>按照</w:t>
      </w:r>
      <w:r>
        <w:rPr>
          <w:rFonts w:ascii="仿宋" w:hAnsi="仿宋" w:eastAsia="仿宋"/>
          <w:sz w:val="32"/>
          <w:szCs w:val="32"/>
        </w:rPr>
        <w:t>《关于加快推进小微企业园区建设管理工作的实施意见》</w:t>
      </w:r>
      <w:r>
        <w:rPr>
          <w:rFonts w:ascii="仿宋" w:hAnsi="仿宋" w:eastAsia="仿宋"/>
          <w:color w:val="000000"/>
          <w:sz w:val="32"/>
          <w:szCs w:val="32"/>
        </w:rPr>
        <w:t>（</w:t>
      </w:r>
      <w:r>
        <w:fldChar w:fldCharType="begin"/>
      </w:r>
      <w:r>
        <w:instrText xml:space="preserve"> HYPERLINK "http://172.19.48.100/index.rsex?Out&amp;object=document&amp;kind=Info&amp;unid=48256C00001287B2482582EC0033F16A&amp;Key=%E5%B0%8F%E5%BE%AE%E4%BC%81%E4%B8%9A%E5%9B%AD%E5%8C%BA" \t "http://172.19.48.100/_blank" </w:instrText>
      </w:r>
      <w:r>
        <w:fldChar w:fldCharType="separate"/>
      </w:r>
      <w:r>
        <w:rPr>
          <w:rFonts w:hint="eastAsia" w:ascii="仿宋" w:hAnsi="仿宋" w:eastAsia="仿宋"/>
          <w:color w:val="000000"/>
          <w:sz w:val="32"/>
          <w:szCs w:val="32"/>
        </w:rPr>
        <w:t>慈政办发〔2018〕99号</w:t>
      </w:r>
      <w:r>
        <w:rPr>
          <w:rFonts w:hint="eastAsia" w:ascii="仿宋" w:hAnsi="仿宋" w:eastAsia="仿宋"/>
          <w:color w:val="000000"/>
          <w:sz w:val="32"/>
          <w:szCs w:val="32"/>
        </w:rPr>
        <w:fldChar w:fldCharType="end"/>
      </w:r>
      <w:r>
        <w:rPr>
          <w:rFonts w:ascii="仿宋" w:hAnsi="仿宋" w:eastAsia="仿宋"/>
          <w:color w:val="000000"/>
          <w:sz w:val="32"/>
          <w:szCs w:val="32"/>
        </w:rPr>
        <w:t>），积极规划、有序推进和规范建设一批小微企业园，整合一批</w:t>
      </w:r>
      <w:r>
        <w:rPr>
          <w:rFonts w:ascii="仿宋" w:hAnsi="仿宋" w:eastAsia="仿宋"/>
          <w:sz w:val="32"/>
          <w:szCs w:val="32"/>
        </w:rPr>
        <w:t>有潜质的、符合产业定位和准入管理的低效企业入园集聚发展。支持园区（平台）为企业提供政务代办、政策法律咨询、人才招聘、展览展示等公共服务，引进专业机构开展财务代理、人才培训、融资担保、知识产权、研发设计、安全生产、检验检测等服务。</w:t>
      </w:r>
    </w:p>
    <w:p>
      <w:pPr>
        <w:spacing w:line="580" w:lineRule="exact"/>
        <w:ind w:firstLine="640" w:firstLineChars="200"/>
        <w:rPr>
          <w:rFonts w:ascii="仿宋" w:hAnsi="仿宋" w:eastAsia="仿宋"/>
          <w:sz w:val="32"/>
          <w:szCs w:val="32"/>
        </w:rPr>
      </w:pPr>
      <w:r>
        <w:rPr>
          <w:rFonts w:ascii="仿宋" w:hAnsi="仿宋" w:eastAsia="仿宋"/>
          <w:color w:val="000000"/>
          <w:kern w:val="32"/>
          <w:sz w:val="32"/>
          <w:szCs w:val="32"/>
        </w:rPr>
        <w:t>（四）</w:t>
      </w:r>
      <w:r>
        <w:rPr>
          <w:rFonts w:ascii="仿宋" w:hAnsi="仿宋" w:eastAsia="仿宋"/>
          <w:sz w:val="32"/>
          <w:szCs w:val="32"/>
        </w:rPr>
        <w:t>合作转移发展。开展精准合作转移，加强供给侧和需求侧精准对接，鼓励各地积极对接“一带一路”“长三角一体化”等重大战略及长江经济带沿线省（市）等区域产能合作转移对接活动。通过合作经营等形式共建境外、省外浙江产业转移合作园、境外加工制造、资源利用和商贸物流基地等，有序引导因环境容量等因素不适合继续留在当地发展的企业“抱团”有序转移。</w:t>
      </w:r>
    </w:p>
    <w:p>
      <w:pPr>
        <w:spacing w:line="580" w:lineRule="exact"/>
        <w:ind w:firstLine="640" w:firstLineChars="200"/>
        <w:rPr>
          <w:rFonts w:ascii="仿宋" w:hAnsi="仿宋" w:eastAsia="仿宋"/>
          <w:sz w:val="32"/>
          <w:szCs w:val="32"/>
        </w:rPr>
      </w:pPr>
      <w:r>
        <w:rPr>
          <w:rFonts w:ascii="仿宋" w:hAnsi="仿宋" w:eastAsia="仿宋"/>
          <w:color w:val="000000"/>
          <w:kern w:val="32"/>
          <w:sz w:val="32"/>
          <w:szCs w:val="32"/>
        </w:rPr>
        <w:t>（五）</w:t>
      </w:r>
      <w:r>
        <w:rPr>
          <w:rFonts w:ascii="仿宋" w:hAnsi="仿宋" w:eastAsia="仿宋"/>
          <w:sz w:val="32"/>
          <w:szCs w:val="32"/>
        </w:rPr>
        <w:t>依法整治发展。严格执行有关法律法规和国家、省级产业政策，利用综合标准依法依规推动落后产能退出。严格常态化执法和强制性标准实施，在环保、能源、质量、安全生产等领域开展联合执法，依法依规关停淘汰落后产能和违法产能。依法整治无证无照、偷逃税收、超标排放以及有重大事故隐患等“低散乱”企业，倒逼经整治仍不具备法定条件的企业有序退出。加快处置“僵尸企业”，探索预重整机制，对符合条件的低效企业的破产重整、和解方案进行预审完善，缩短审理期限；企业登记主管部门根据法院出具的终结破产程序的裁定及破产管理人的申请等相关法律文书，依法对破产企业予以注销。</w:t>
      </w:r>
    </w:p>
    <w:p>
      <w:pPr>
        <w:spacing w:line="580" w:lineRule="exact"/>
        <w:ind w:firstLine="640" w:firstLineChars="200"/>
        <w:rPr>
          <w:rFonts w:ascii="仿宋" w:hAnsi="仿宋" w:eastAsia="仿宋"/>
          <w:sz w:val="32"/>
          <w:szCs w:val="32"/>
        </w:rPr>
      </w:pPr>
      <w:r>
        <w:rPr>
          <w:rFonts w:ascii="仿宋" w:hAnsi="仿宋" w:eastAsia="仿宋"/>
          <w:sz w:val="32"/>
          <w:szCs w:val="32"/>
        </w:rPr>
        <w:t>（六）实施低效用地再开发。按照有利于优化建设用地空间布局、促进产业转型升级、提高土地节约集约利用水平的原则，结合“亩均效益”综合评价，合理确定低效用地再开发范围，动态开展低效用地调查建库和再开发专项规划编制，通过协商收回、实施流转、协议置换、退二优二、退二进三、收购储备等方式实施低效用地再开发，推动低效企业地块尽快改造提升。建立低效企业地块司法拍卖府院联动机制，强化产业规划引导，避免拍卖地块再次低效。</w:t>
      </w:r>
    </w:p>
    <w:p>
      <w:pPr>
        <w:spacing w:line="580" w:lineRule="exact"/>
        <w:ind w:firstLine="643" w:firstLineChars="200"/>
        <w:rPr>
          <w:rFonts w:ascii="宋体" w:hAnsi="宋体" w:cs="楷体_GB2312"/>
          <w:b/>
          <w:color w:val="000000"/>
          <w:sz w:val="32"/>
          <w:szCs w:val="32"/>
        </w:rPr>
      </w:pPr>
      <w:r>
        <w:rPr>
          <w:rFonts w:hint="eastAsia" w:ascii="宋体" w:hAnsi="宋体" w:cs="楷体_GB2312"/>
          <w:b/>
          <w:color w:val="000000"/>
          <w:sz w:val="32"/>
          <w:szCs w:val="32"/>
        </w:rPr>
        <w:t>五、保障措施</w:t>
      </w:r>
    </w:p>
    <w:p>
      <w:pPr>
        <w:spacing w:line="580" w:lineRule="exact"/>
        <w:ind w:firstLine="640" w:firstLineChars="200"/>
        <w:rPr>
          <w:rFonts w:ascii="仿宋" w:hAnsi="仿宋" w:eastAsia="仿宋"/>
          <w:sz w:val="32"/>
          <w:szCs w:val="32"/>
        </w:rPr>
      </w:pPr>
      <w:r>
        <w:rPr>
          <w:rFonts w:ascii="仿宋" w:hAnsi="仿宋" w:eastAsia="仿宋"/>
          <w:color w:val="000000"/>
          <w:kern w:val="32"/>
          <w:sz w:val="32"/>
          <w:szCs w:val="32"/>
        </w:rPr>
        <w:t>（一）加强组织领导。</w:t>
      </w:r>
      <w:r>
        <w:rPr>
          <w:rFonts w:ascii="仿宋" w:hAnsi="仿宋" w:eastAsia="仿宋"/>
          <w:sz w:val="32"/>
          <w:szCs w:val="32"/>
        </w:rPr>
        <w:t>市深化“亩均论英雄”改革工作领导小组负责统筹推进全市低效企业提升达标工作，研究协调相关重大问题。市深化“亩均论英雄”改革工作领导小组办公室牵头抓好重点工作和目标任务分解落实，做好工作进展情况跟踪调研，加强对地方工作指导。市级有关部门按职责分工，明确工作任务，完善相关政策，加强协作配合。</w:t>
      </w:r>
      <w:r>
        <w:rPr>
          <w:rFonts w:ascii="仿宋" w:hAnsi="仿宋" w:eastAsia="仿宋"/>
          <w:color w:val="000000"/>
          <w:kern w:val="32"/>
          <w:sz w:val="32"/>
          <w:szCs w:val="32"/>
        </w:rPr>
        <w:t>各</w:t>
      </w:r>
      <w:r>
        <w:rPr>
          <w:rFonts w:hint="eastAsia" w:ascii="仿宋" w:hAnsi="仿宋" w:eastAsia="仿宋"/>
          <w:color w:val="000000"/>
          <w:kern w:val="32"/>
          <w:sz w:val="32"/>
          <w:szCs w:val="32"/>
        </w:rPr>
        <w:t>镇</w:t>
      </w:r>
      <w:r>
        <w:rPr>
          <w:rFonts w:ascii="仿宋" w:hAnsi="仿宋" w:eastAsia="仿宋"/>
          <w:color w:val="000000"/>
          <w:kern w:val="32"/>
          <w:sz w:val="32"/>
          <w:szCs w:val="32"/>
        </w:rPr>
        <w:t>（</w:t>
      </w:r>
      <w:r>
        <w:rPr>
          <w:rFonts w:hint="eastAsia" w:ascii="仿宋" w:hAnsi="仿宋" w:eastAsia="仿宋"/>
          <w:color w:val="000000"/>
          <w:kern w:val="32"/>
          <w:sz w:val="32"/>
          <w:szCs w:val="32"/>
        </w:rPr>
        <w:t>街道、园区</w:t>
      </w:r>
      <w:r>
        <w:rPr>
          <w:rFonts w:ascii="仿宋" w:hAnsi="仿宋" w:eastAsia="仿宋"/>
          <w:color w:val="000000"/>
          <w:kern w:val="32"/>
          <w:sz w:val="32"/>
          <w:szCs w:val="32"/>
        </w:rPr>
        <w:t>）是低效企业提升达标工作的责任主体，</w:t>
      </w:r>
      <w:r>
        <w:rPr>
          <w:rFonts w:ascii="仿宋" w:hAnsi="仿宋" w:eastAsia="仿宋"/>
          <w:sz w:val="32"/>
          <w:szCs w:val="32"/>
        </w:rPr>
        <w:t>要及时建立工作协调机制，出台实施方案和配套政策，统筹抓好工作落实。</w:t>
      </w:r>
    </w:p>
    <w:p>
      <w:pPr>
        <w:spacing w:line="580" w:lineRule="exact"/>
        <w:ind w:firstLine="640" w:firstLineChars="200"/>
        <w:rPr>
          <w:rFonts w:ascii="仿宋" w:hAnsi="仿宋" w:eastAsia="仿宋"/>
          <w:sz w:val="32"/>
          <w:szCs w:val="32"/>
        </w:rPr>
      </w:pPr>
      <w:r>
        <w:rPr>
          <w:rFonts w:ascii="仿宋" w:hAnsi="仿宋" w:eastAsia="仿宋"/>
          <w:color w:val="000000"/>
          <w:kern w:val="32"/>
          <w:sz w:val="32"/>
          <w:szCs w:val="32"/>
        </w:rPr>
        <w:t>（二）</w:t>
      </w:r>
      <w:r>
        <w:rPr>
          <w:rFonts w:hint="eastAsia" w:ascii="仿宋" w:hAnsi="仿宋" w:eastAsia="仿宋"/>
          <w:sz w:val="32"/>
          <w:szCs w:val="32"/>
        </w:rPr>
        <w:t>加强政策支持。</w:t>
      </w:r>
      <w:r>
        <w:rPr>
          <w:rFonts w:ascii="仿宋" w:hAnsi="仿宋" w:eastAsia="仿宋"/>
          <w:sz w:val="32"/>
          <w:szCs w:val="32"/>
        </w:rPr>
        <w:t>加强投资、产业、土地、能源、环保、财政、信贷、价格等政策的相互衔接，增强政策合力，深入推进低效企业改造提升工作。落实市政府有关推动企业兼并重组的政策意见。对于有利于优化产业结构的重大并购活动，以及并购重组中实施的符合产业政策的研发创新、智能化技术改造等项目实施，可给予一定支持。低效企业兼并重组，可以合并被兼并重组低效企业的用水、用能和排污总量。兼并高耗能行业低效企业，须制订产能等量或减量置换方案，实施排污总量、产能总量等量或减量置换。在符合城镇控制性详细规划、不改变土地用途的前提下，兼并重组低效企业后通过“产业上楼”、开发多层地下空间等新建、扩建工业厂房，且用于自身生产的，经批准提高现有工业用地容积率的，不再增收土地价款，免收城市基础设施配套费，但建成后转让的除外。</w:t>
      </w:r>
      <w:r>
        <w:rPr>
          <w:rFonts w:hint="eastAsia" w:ascii="仿宋" w:hAnsi="仿宋" w:eastAsia="仿宋"/>
          <w:sz w:val="32"/>
          <w:szCs w:val="32"/>
        </w:rPr>
        <w:t>市镇两</w:t>
      </w:r>
      <w:r>
        <w:rPr>
          <w:rFonts w:ascii="仿宋" w:hAnsi="仿宋" w:eastAsia="仿宋"/>
          <w:sz w:val="32"/>
          <w:szCs w:val="32"/>
        </w:rPr>
        <w:t>级财政要统筹相关专项资金支持低效企业改造提升工作，做好职工安置工作。</w:t>
      </w:r>
      <w:r>
        <w:rPr>
          <w:rFonts w:hint="eastAsia" w:ascii="仿宋" w:hAnsi="仿宋" w:eastAsia="仿宋"/>
          <w:sz w:val="32"/>
          <w:szCs w:val="32"/>
        </w:rPr>
        <w:t xml:space="preserve">   </w:t>
      </w:r>
    </w:p>
    <w:p>
      <w:pPr>
        <w:spacing w:line="580" w:lineRule="exact"/>
        <w:ind w:firstLine="640" w:firstLineChars="200"/>
        <w:rPr>
          <w:rFonts w:ascii="仿宋" w:hAnsi="仿宋" w:eastAsia="仿宋"/>
          <w:color w:val="000000"/>
          <w:kern w:val="32"/>
          <w:sz w:val="32"/>
          <w:szCs w:val="32"/>
        </w:rPr>
      </w:pPr>
      <w:r>
        <w:rPr>
          <w:rFonts w:ascii="仿宋" w:hAnsi="仿宋" w:eastAsia="仿宋"/>
          <w:color w:val="000000"/>
          <w:kern w:val="32"/>
          <w:sz w:val="32"/>
          <w:szCs w:val="32"/>
        </w:rPr>
        <w:t>（三）</w:t>
      </w:r>
      <w:r>
        <w:rPr>
          <w:rFonts w:hint="eastAsia" w:ascii="仿宋" w:hAnsi="仿宋" w:eastAsia="仿宋"/>
          <w:sz w:val="32"/>
          <w:szCs w:val="32"/>
        </w:rPr>
        <w:t>加强考评交流。</w:t>
      </w:r>
      <w:r>
        <w:rPr>
          <w:rFonts w:ascii="仿宋" w:hAnsi="仿宋" w:eastAsia="仿宋"/>
          <w:sz w:val="32"/>
          <w:szCs w:val="32"/>
        </w:rPr>
        <w:t>将低效企业提升达标工作纳入“亩均论英雄”改革年度考评重要内容，加强对各地提升达标任务落实情况的督促检查。优化实施“亩均论英雄”改革涉企有关数据交换共享机制，逐步从规上工业向规下工业企业、规上服务业企业等拓展，并实现月度共享。充分利用传统媒体和新媒体，大力推广“提升亩均效益十法”，总结宣传和交流各地经验做法。及时发布改革信息和政策法规解读，正确引导企业预期，切实转变企业发展理念，为改革工作营造良好的舆论氛围和社会环境。</w:t>
      </w:r>
    </w:p>
    <w:p>
      <w:pPr>
        <w:spacing w:line="580" w:lineRule="exact"/>
        <w:rPr>
          <w:rFonts w:ascii="方正粗黑宋简体" w:hAnsi="方正粗黑宋简体" w:eastAsia="方正粗黑宋简体"/>
          <w:sz w:val="36"/>
          <w:szCs w:val="36"/>
        </w:rPr>
      </w:pPr>
    </w:p>
    <w:p>
      <w:pPr>
        <w:spacing w:line="580" w:lineRule="exact"/>
        <w:jc w:val="center"/>
        <w:rPr>
          <w:rFonts w:ascii="方正粗黑宋简体" w:hAnsi="方正粗黑宋简体" w:eastAsia="方正粗黑宋简体"/>
          <w:sz w:val="36"/>
          <w:szCs w:val="36"/>
        </w:rPr>
        <w:sectPr>
          <w:footerReference r:id="rId3" w:type="default"/>
          <w:pgSz w:w="11906" w:h="16838"/>
          <w:pgMar w:top="1440" w:right="1800" w:bottom="1440" w:left="1800" w:header="851" w:footer="992" w:gutter="0"/>
          <w:pgNumType w:fmt="numberInDash"/>
          <w:cols w:space="720" w:num="1"/>
          <w:docGrid w:type="lines" w:linePitch="312" w:charSpace="0"/>
        </w:sectPr>
      </w:pPr>
    </w:p>
    <w:p>
      <w:pPr>
        <w:widowControl/>
        <w:spacing w:after="158" w:afterLines="50" w:line="580" w:lineRule="exact"/>
        <w:rPr>
          <w:rFonts w:ascii="创艺简标宋" w:hAnsi="华文宋体" w:eastAsia="创艺简标宋"/>
          <w:color w:val="000000"/>
          <w:kern w:val="32"/>
          <w:sz w:val="40"/>
          <w:szCs w:val="36"/>
        </w:rPr>
      </w:pPr>
      <w:r>
        <w:rPr>
          <w:rFonts w:hint="eastAsia" w:ascii="创艺简标宋" w:hAnsi="华文宋体" w:eastAsia="创艺简标宋"/>
          <w:color w:val="000000"/>
          <w:kern w:val="32"/>
          <w:sz w:val="40"/>
          <w:szCs w:val="36"/>
        </w:rPr>
        <w:t>附件1：</w:t>
      </w:r>
    </w:p>
    <w:p>
      <w:pPr>
        <w:jc w:val="center"/>
        <w:rPr>
          <w:rFonts w:ascii="方正粗黑宋简体" w:hAnsi="方正粗黑宋简体" w:eastAsia="方正粗黑宋简体" w:cs="方正粗黑宋简体"/>
          <w:b/>
          <w:bCs/>
          <w:color w:val="000000"/>
          <w:kern w:val="0"/>
          <w:sz w:val="32"/>
          <w:szCs w:val="32"/>
          <w:lang w:bidi="ar"/>
        </w:rPr>
      </w:pPr>
      <w:r>
        <w:rPr>
          <w:rFonts w:hint="eastAsia" w:ascii="方正粗黑宋简体" w:hAnsi="方正粗黑宋简体" w:eastAsia="方正粗黑宋简体" w:cs="方正粗黑宋简体"/>
          <w:b/>
          <w:bCs/>
          <w:color w:val="000000"/>
          <w:kern w:val="0"/>
          <w:sz w:val="32"/>
          <w:szCs w:val="32"/>
          <w:lang w:bidi="ar"/>
        </w:rPr>
        <w:t>慈溪市2019-2020年各镇（街道、园区）制造业领域</w:t>
      </w:r>
    </w:p>
    <w:p>
      <w:pPr>
        <w:jc w:val="center"/>
        <w:rPr>
          <w:rFonts w:ascii="方正粗黑宋简体" w:hAnsi="方正粗黑宋简体" w:eastAsia="方正粗黑宋简体" w:cs="方正粗黑宋简体"/>
          <w:b/>
          <w:bCs/>
          <w:color w:val="000000"/>
          <w:kern w:val="0"/>
          <w:sz w:val="32"/>
          <w:szCs w:val="32"/>
          <w:lang w:bidi="ar"/>
        </w:rPr>
      </w:pPr>
      <w:r>
        <w:rPr>
          <w:rFonts w:hint="eastAsia" w:ascii="方正粗黑宋简体" w:hAnsi="方正粗黑宋简体" w:eastAsia="方正粗黑宋简体" w:cs="方正粗黑宋简体"/>
          <w:b/>
          <w:bCs/>
          <w:color w:val="000000"/>
          <w:kern w:val="0"/>
          <w:sz w:val="32"/>
          <w:szCs w:val="32"/>
          <w:lang w:bidi="ar"/>
        </w:rPr>
        <w:t>低效企业分类帮扶任务数</w:t>
      </w:r>
    </w:p>
    <w:tbl>
      <w:tblPr>
        <w:tblStyle w:val="5"/>
        <w:tblW w:w="83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993"/>
        <w:gridCol w:w="1746"/>
        <w:gridCol w:w="1568"/>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1459" w:type="dxa"/>
            <w:vAlign w:val="center"/>
          </w:tcPr>
          <w:p>
            <w:pPr>
              <w:snapToGrid w:val="0"/>
              <w:jc w:val="center"/>
              <w:rPr>
                <w:rFonts w:ascii="仿宋" w:hAnsi="仿宋" w:eastAsia="仿宋" w:cs="仿宋"/>
                <w:b/>
                <w:bCs/>
                <w:color w:val="000000"/>
                <w:kern w:val="0"/>
                <w:sz w:val="27"/>
                <w:szCs w:val="27"/>
                <w:lang w:bidi="ar"/>
              </w:rPr>
            </w:pPr>
            <w:r>
              <w:rPr>
                <w:rFonts w:hint="eastAsia" w:ascii="仿宋" w:hAnsi="仿宋" w:eastAsia="仿宋" w:cs="仿宋"/>
                <w:b/>
                <w:bCs/>
                <w:color w:val="000000"/>
                <w:kern w:val="0"/>
                <w:sz w:val="27"/>
                <w:szCs w:val="27"/>
                <w:lang w:bidi="ar"/>
              </w:rPr>
              <w:t>序号</w:t>
            </w:r>
          </w:p>
        </w:tc>
        <w:tc>
          <w:tcPr>
            <w:tcW w:w="1993" w:type="dxa"/>
            <w:vAlign w:val="center"/>
          </w:tcPr>
          <w:p>
            <w:pPr>
              <w:snapToGrid w:val="0"/>
              <w:jc w:val="center"/>
              <w:rPr>
                <w:rFonts w:ascii="仿宋" w:hAnsi="仿宋" w:eastAsia="仿宋" w:cs="仿宋"/>
                <w:b/>
                <w:bCs/>
                <w:color w:val="000000"/>
                <w:kern w:val="0"/>
                <w:sz w:val="27"/>
                <w:szCs w:val="27"/>
                <w:lang w:bidi="ar"/>
              </w:rPr>
            </w:pPr>
            <w:r>
              <w:rPr>
                <w:rFonts w:hint="eastAsia" w:ascii="仿宋" w:hAnsi="仿宋" w:eastAsia="仿宋" w:cs="仿宋"/>
                <w:b/>
                <w:bCs/>
                <w:color w:val="000000"/>
                <w:kern w:val="0"/>
                <w:sz w:val="27"/>
                <w:szCs w:val="27"/>
                <w:lang w:bidi="ar"/>
              </w:rPr>
              <w:t>镇（街道、园区）</w:t>
            </w:r>
          </w:p>
        </w:tc>
        <w:tc>
          <w:tcPr>
            <w:tcW w:w="1746" w:type="dxa"/>
            <w:vAlign w:val="center"/>
          </w:tcPr>
          <w:p>
            <w:pPr>
              <w:snapToGrid w:val="0"/>
              <w:jc w:val="center"/>
              <w:rPr>
                <w:rFonts w:ascii="仿宋" w:hAnsi="仿宋" w:eastAsia="仿宋" w:cs="仿宋"/>
                <w:b/>
                <w:bCs/>
                <w:color w:val="000000"/>
                <w:kern w:val="0"/>
                <w:sz w:val="27"/>
                <w:szCs w:val="27"/>
                <w:lang w:bidi="ar"/>
              </w:rPr>
            </w:pPr>
            <w:r>
              <w:rPr>
                <w:rFonts w:hint="eastAsia" w:ascii="仿宋" w:hAnsi="仿宋" w:eastAsia="仿宋" w:cs="仿宋"/>
                <w:b/>
                <w:bCs/>
                <w:color w:val="000000"/>
                <w:kern w:val="0"/>
                <w:sz w:val="27"/>
                <w:szCs w:val="27"/>
                <w:lang w:bidi="ar"/>
              </w:rPr>
              <w:t>现有低效企业总数</w:t>
            </w:r>
          </w:p>
        </w:tc>
        <w:tc>
          <w:tcPr>
            <w:tcW w:w="1568" w:type="dxa"/>
            <w:vAlign w:val="center"/>
          </w:tcPr>
          <w:p>
            <w:pPr>
              <w:snapToGrid w:val="0"/>
              <w:jc w:val="center"/>
              <w:rPr>
                <w:rFonts w:ascii="仿宋" w:hAnsi="仿宋" w:eastAsia="仿宋" w:cs="仿宋"/>
                <w:b/>
                <w:bCs/>
                <w:color w:val="000000"/>
                <w:kern w:val="0"/>
                <w:sz w:val="27"/>
                <w:szCs w:val="27"/>
                <w:lang w:bidi="ar"/>
              </w:rPr>
            </w:pPr>
            <w:r>
              <w:rPr>
                <w:rFonts w:hint="eastAsia" w:ascii="仿宋" w:hAnsi="仿宋" w:eastAsia="仿宋" w:cs="仿宋"/>
                <w:b/>
                <w:bCs/>
                <w:color w:val="000000"/>
                <w:kern w:val="0"/>
                <w:sz w:val="27"/>
                <w:szCs w:val="27"/>
                <w:lang w:bidi="ar"/>
              </w:rPr>
              <w:t>2019年任务数</w:t>
            </w:r>
          </w:p>
        </w:tc>
        <w:tc>
          <w:tcPr>
            <w:tcW w:w="1568" w:type="dxa"/>
            <w:vAlign w:val="center"/>
          </w:tcPr>
          <w:p>
            <w:pPr>
              <w:snapToGrid w:val="0"/>
              <w:jc w:val="center"/>
              <w:rPr>
                <w:rFonts w:ascii="仿宋" w:hAnsi="仿宋" w:eastAsia="仿宋" w:cs="仿宋"/>
                <w:b/>
                <w:bCs/>
                <w:color w:val="000000"/>
                <w:kern w:val="0"/>
                <w:sz w:val="27"/>
                <w:szCs w:val="27"/>
                <w:lang w:bidi="ar"/>
              </w:rPr>
            </w:pPr>
            <w:r>
              <w:rPr>
                <w:rFonts w:hint="eastAsia" w:ascii="仿宋" w:hAnsi="仿宋" w:eastAsia="仿宋" w:cs="仿宋"/>
                <w:b/>
                <w:bCs/>
                <w:color w:val="000000"/>
                <w:kern w:val="0"/>
                <w:sz w:val="27"/>
                <w:szCs w:val="27"/>
                <w:lang w:bidi="ar"/>
              </w:rPr>
              <w:t>2020年任务数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459"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w:t>
            </w:r>
          </w:p>
        </w:tc>
        <w:tc>
          <w:tcPr>
            <w:tcW w:w="1993"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白沙路街道</w:t>
            </w:r>
          </w:p>
        </w:tc>
        <w:tc>
          <w:tcPr>
            <w:tcW w:w="1746"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7</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4</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459"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2</w:t>
            </w:r>
          </w:p>
        </w:tc>
        <w:tc>
          <w:tcPr>
            <w:tcW w:w="1993"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滨海区</w:t>
            </w:r>
          </w:p>
        </w:tc>
        <w:tc>
          <w:tcPr>
            <w:tcW w:w="1746"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23</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12</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459"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3</w:t>
            </w:r>
          </w:p>
        </w:tc>
        <w:tc>
          <w:tcPr>
            <w:tcW w:w="1993"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崇寿镇</w:t>
            </w:r>
          </w:p>
        </w:tc>
        <w:tc>
          <w:tcPr>
            <w:tcW w:w="1746"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25</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13</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459"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4</w:t>
            </w:r>
          </w:p>
        </w:tc>
        <w:tc>
          <w:tcPr>
            <w:tcW w:w="1993"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附海镇</w:t>
            </w:r>
          </w:p>
        </w:tc>
        <w:tc>
          <w:tcPr>
            <w:tcW w:w="1746"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25</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13</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459"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5</w:t>
            </w:r>
          </w:p>
        </w:tc>
        <w:tc>
          <w:tcPr>
            <w:tcW w:w="1993"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古塘街道</w:t>
            </w:r>
          </w:p>
        </w:tc>
        <w:tc>
          <w:tcPr>
            <w:tcW w:w="1746"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7</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4</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459"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6</w:t>
            </w:r>
          </w:p>
        </w:tc>
        <w:tc>
          <w:tcPr>
            <w:tcW w:w="1993"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观海卫镇</w:t>
            </w:r>
          </w:p>
        </w:tc>
        <w:tc>
          <w:tcPr>
            <w:tcW w:w="1746"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47</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24</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459"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7</w:t>
            </w:r>
          </w:p>
        </w:tc>
        <w:tc>
          <w:tcPr>
            <w:tcW w:w="1993"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横河镇</w:t>
            </w:r>
          </w:p>
        </w:tc>
        <w:tc>
          <w:tcPr>
            <w:tcW w:w="1746"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22</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11</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459"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8</w:t>
            </w:r>
          </w:p>
        </w:tc>
        <w:tc>
          <w:tcPr>
            <w:tcW w:w="1993"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浒山街道</w:t>
            </w:r>
          </w:p>
        </w:tc>
        <w:tc>
          <w:tcPr>
            <w:tcW w:w="1746"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459"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9</w:t>
            </w:r>
          </w:p>
        </w:tc>
        <w:tc>
          <w:tcPr>
            <w:tcW w:w="1993"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坎墩街道</w:t>
            </w:r>
          </w:p>
        </w:tc>
        <w:tc>
          <w:tcPr>
            <w:tcW w:w="1746"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9</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5</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459"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10</w:t>
            </w:r>
          </w:p>
        </w:tc>
        <w:tc>
          <w:tcPr>
            <w:tcW w:w="1993"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匡堰镇</w:t>
            </w:r>
          </w:p>
        </w:tc>
        <w:tc>
          <w:tcPr>
            <w:tcW w:w="1746" w:type="dxa"/>
            <w:vAlign w:val="center"/>
          </w:tcPr>
          <w:p>
            <w:pPr>
              <w:widowControl/>
              <w:jc w:val="center"/>
              <w:textAlignment w:val="center"/>
              <w:rPr>
                <w:rFonts w:hint="default" w:ascii="仿宋" w:hAnsi="仿宋" w:eastAsia="仿宋" w:cs="仿宋"/>
                <w:color w:val="000000"/>
                <w:kern w:val="0"/>
                <w:sz w:val="27"/>
                <w:szCs w:val="27"/>
                <w:lang w:val="en-US" w:eastAsia="zh-CN" w:bidi="ar"/>
              </w:rPr>
            </w:pPr>
            <w:r>
              <w:rPr>
                <w:rFonts w:hint="eastAsia" w:ascii="仿宋" w:hAnsi="仿宋" w:eastAsia="仿宋" w:cs="仿宋"/>
                <w:color w:val="000000"/>
                <w:kern w:val="0"/>
                <w:sz w:val="27"/>
                <w:szCs w:val="27"/>
                <w:lang w:val="en-US" w:eastAsia="zh-CN" w:bidi="ar"/>
              </w:rPr>
              <w:t>28</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14</w:t>
            </w:r>
          </w:p>
        </w:tc>
        <w:tc>
          <w:tcPr>
            <w:tcW w:w="1568" w:type="dxa"/>
            <w:vAlign w:val="center"/>
          </w:tcPr>
          <w:p>
            <w:pPr>
              <w:widowControl/>
              <w:jc w:val="center"/>
              <w:textAlignment w:val="center"/>
              <w:rPr>
                <w:rFonts w:hint="eastAsia" w:ascii="仿宋" w:hAnsi="仿宋" w:eastAsia="仿宋" w:cs="仿宋"/>
                <w:color w:val="000000"/>
                <w:kern w:val="0"/>
                <w:sz w:val="27"/>
                <w:szCs w:val="27"/>
                <w:lang w:eastAsia="zh-CN" w:bidi="ar"/>
              </w:rPr>
            </w:pPr>
            <w:r>
              <w:rPr>
                <w:rFonts w:hint="eastAsia" w:ascii="仿宋" w:hAnsi="仿宋" w:eastAsia="仿宋" w:cs="仿宋"/>
                <w:color w:val="000000"/>
                <w:kern w:val="0"/>
                <w:sz w:val="27"/>
                <w:szCs w:val="27"/>
                <w:lang w:bidi="ar"/>
              </w:rPr>
              <w:t>1</w:t>
            </w:r>
            <w:r>
              <w:rPr>
                <w:rFonts w:hint="eastAsia" w:ascii="仿宋" w:hAnsi="仿宋" w:eastAsia="仿宋" w:cs="仿宋"/>
                <w:color w:val="000000"/>
                <w:kern w:val="0"/>
                <w:sz w:val="27"/>
                <w:szCs w:val="27"/>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459"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11</w:t>
            </w:r>
          </w:p>
        </w:tc>
        <w:tc>
          <w:tcPr>
            <w:tcW w:w="1993"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龙山镇</w:t>
            </w:r>
          </w:p>
        </w:tc>
        <w:tc>
          <w:tcPr>
            <w:tcW w:w="1746"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64</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32</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459"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12</w:t>
            </w:r>
          </w:p>
        </w:tc>
        <w:tc>
          <w:tcPr>
            <w:tcW w:w="1993"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桥头镇</w:t>
            </w:r>
          </w:p>
        </w:tc>
        <w:tc>
          <w:tcPr>
            <w:tcW w:w="1746"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42</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21</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459"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13</w:t>
            </w:r>
          </w:p>
        </w:tc>
        <w:tc>
          <w:tcPr>
            <w:tcW w:w="1993"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胜山镇</w:t>
            </w:r>
          </w:p>
        </w:tc>
        <w:tc>
          <w:tcPr>
            <w:tcW w:w="1746"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27</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14</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459"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14</w:t>
            </w:r>
          </w:p>
        </w:tc>
        <w:tc>
          <w:tcPr>
            <w:tcW w:w="1993"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逍林镇</w:t>
            </w:r>
          </w:p>
        </w:tc>
        <w:tc>
          <w:tcPr>
            <w:tcW w:w="1746" w:type="dxa"/>
            <w:vAlign w:val="center"/>
          </w:tcPr>
          <w:p>
            <w:pPr>
              <w:widowControl/>
              <w:jc w:val="center"/>
              <w:textAlignment w:val="center"/>
              <w:rPr>
                <w:rFonts w:hint="default" w:ascii="仿宋" w:hAnsi="仿宋" w:eastAsia="仿宋" w:cs="仿宋"/>
                <w:color w:val="000000"/>
                <w:kern w:val="0"/>
                <w:sz w:val="27"/>
                <w:szCs w:val="27"/>
                <w:lang w:val="en-US" w:eastAsia="zh-CN" w:bidi="ar"/>
              </w:rPr>
            </w:pPr>
            <w:r>
              <w:rPr>
                <w:rFonts w:hint="eastAsia" w:ascii="仿宋" w:hAnsi="仿宋" w:eastAsia="仿宋" w:cs="仿宋"/>
                <w:color w:val="000000"/>
                <w:kern w:val="0"/>
                <w:sz w:val="27"/>
                <w:szCs w:val="27"/>
                <w:lang w:val="en-US" w:eastAsia="zh-CN" w:bidi="ar"/>
              </w:rPr>
              <w:t>28</w:t>
            </w:r>
          </w:p>
        </w:tc>
        <w:tc>
          <w:tcPr>
            <w:tcW w:w="1568" w:type="dxa"/>
            <w:vAlign w:val="center"/>
          </w:tcPr>
          <w:p>
            <w:pPr>
              <w:widowControl/>
              <w:jc w:val="center"/>
              <w:textAlignment w:val="center"/>
              <w:rPr>
                <w:rFonts w:hint="eastAsia" w:ascii="仿宋" w:hAnsi="仿宋" w:eastAsia="仿宋" w:cs="仿宋"/>
                <w:color w:val="000000"/>
                <w:kern w:val="0"/>
                <w:sz w:val="27"/>
                <w:szCs w:val="27"/>
                <w:lang w:eastAsia="zh-CN" w:bidi="ar"/>
              </w:rPr>
            </w:pPr>
            <w:r>
              <w:rPr>
                <w:rFonts w:hint="eastAsia" w:ascii="仿宋" w:hAnsi="仿宋" w:eastAsia="仿宋" w:cs="仿宋"/>
                <w:color w:val="000000"/>
                <w:kern w:val="0"/>
                <w:sz w:val="27"/>
                <w:szCs w:val="27"/>
                <w:lang w:bidi="ar"/>
              </w:rPr>
              <w:t>1</w:t>
            </w:r>
            <w:r>
              <w:rPr>
                <w:rFonts w:hint="eastAsia" w:ascii="仿宋" w:hAnsi="仿宋" w:eastAsia="仿宋" w:cs="仿宋"/>
                <w:color w:val="000000"/>
                <w:kern w:val="0"/>
                <w:sz w:val="27"/>
                <w:szCs w:val="27"/>
                <w:lang w:val="en-US" w:eastAsia="zh-CN" w:bidi="ar"/>
              </w:rPr>
              <w:t>4</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459"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15</w:t>
            </w:r>
          </w:p>
        </w:tc>
        <w:tc>
          <w:tcPr>
            <w:tcW w:w="1993"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新浦镇</w:t>
            </w:r>
          </w:p>
        </w:tc>
        <w:tc>
          <w:tcPr>
            <w:tcW w:w="1746"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34</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17</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459"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16</w:t>
            </w:r>
          </w:p>
        </w:tc>
        <w:tc>
          <w:tcPr>
            <w:tcW w:w="1993"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高新区</w:t>
            </w:r>
          </w:p>
        </w:tc>
        <w:tc>
          <w:tcPr>
            <w:tcW w:w="1746"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459"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17</w:t>
            </w:r>
          </w:p>
        </w:tc>
        <w:tc>
          <w:tcPr>
            <w:tcW w:w="1993"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长河镇</w:t>
            </w:r>
          </w:p>
        </w:tc>
        <w:tc>
          <w:tcPr>
            <w:tcW w:w="1746"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21</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11</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459"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18</w:t>
            </w:r>
          </w:p>
        </w:tc>
        <w:tc>
          <w:tcPr>
            <w:tcW w:w="1993"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掌起镇</w:t>
            </w:r>
          </w:p>
        </w:tc>
        <w:tc>
          <w:tcPr>
            <w:tcW w:w="1746"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39</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20</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459"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19</w:t>
            </w:r>
          </w:p>
        </w:tc>
        <w:tc>
          <w:tcPr>
            <w:tcW w:w="1993"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周巷镇</w:t>
            </w:r>
          </w:p>
        </w:tc>
        <w:tc>
          <w:tcPr>
            <w:tcW w:w="1746"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65</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33</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459"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20</w:t>
            </w:r>
          </w:p>
        </w:tc>
        <w:tc>
          <w:tcPr>
            <w:tcW w:w="1993"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宗汉街道</w:t>
            </w:r>
          </w:p>
        </w:tc>
        <w:tc>
          <w:tcPr>
            <w:tcW w:w="1746"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12</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6</w:t>
            </w:r>
          </w:p>
        </w:tc>
        <w:tc>
          <w:tcPr>
            <w:tcW w:w="1568"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459"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合计</w:t>
            </w:r>
          </w:p>
        </w:tc>
        <w:tc>
          <w:tcPr>
            <w:tcW w:w="1993" w:type="dxa"/>
            <w:vAlign w:val="center"/>
          </w:tcPr>
          <w:p>
            <w:pPr>
              <w:jc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市级</w:t>
            </w:r>
          </w:p>
        </w:tc>
        <w:tc>
          <w:tcPr>
            <w:tcW w:w="1746" w:type="dxa"/>
            <w:vAlign w:val="center"/>
          </w:tcPr>
          <w:p>
            <w:pPr>
              <w:widowControl/>
              <w:jc w:val="center"/>
              <w:textAlignment w:val="center"/>
              <w:rPr>
                <w:rFonts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527</w:t>
            </w:r>
          </w:p>
        </w:tc>
        <w:tc>
          <w:tcPr>
            <w:tcW w:w="1568" w:type="dxa"/>
            <w:vAlign w:val="center"/>
          </w:tcPr>
          <w:p>
            <w:pPr>
              <w:widowControl/>
              <w:jc w:val="center"/>
              <w:textAlignment w:val="center"/>
              <w:rPr>
                <w:rFonts w:hint="eastAsia" w:ascii="仿宋" w:hAnsi="仿宋" w:eastAsia="仿宋" w:cs="仿宋"/>
                <w:color w:val="000000"/>
                <w:kern w:val="0"/>
                <w:sz w:val="27"/>
                <w:szCs w:val="27"/>
                <w:lang w:eastAsia="zh-CN" w:bidi="ar"/>
              </w:rPr>
            </w:pPr>
            <w:r>
              <w:rPr>
                <w:rFonts w:hint="eastAsia" w:ascii="仿宋" w:hAnsi="仿宋" w:eastAsia="仿宋" w:cs="仿宋"/>
                <w:color w:val="000000"/>
                <w:kern w:val="0"/>
                <w:sz w:val="27"/>
                <w:szCs w:val="27"/>
                <w:lang w:bidi="ar"/>
              </w:rPr>
              <w:t>27</w:t>
            </w:r>
            <w:r>
              <w:rPr>
                <w:rFonts w:hint="eastAsia" w:ascii="仿宋" w:hAnsi="仿宋" w:eastAsia="仿宋" w:cs="仿宋"/>
                <w:color w:val="000000"/>
                <w:kern w:val="0"/>
                <w:sz w:val="27"/>
                <w:szCs w:val="27"/>
                <w:lang w:val="en-US" w:eastAsia="zh-CN" w:bidi="ar"/>
              </w:rPr>
              <w:t>0</w:t>
            </w:r>
          </w:p>
        </w:tc>
        <w:tc>
          <w:tcPr>
            <w:tcW w:w="1568" w:type="dxa"/>
            <w:vAlign w:val="center"/>
          </w:tcPr>
          <w:p>
            <w:pPr>
              <w:widowControl/>
              <w:jc w:val="center"/>
              <w:textAlignment w:val="center"/>
              <w:rPr>
                <w:rFonts w:hint="eastAsia" w:ascii="仿宋" w:hAnsi="仿宋" w:eastAsia="仿宋" w:cs="仿宋"/>
                <w:color w:val="000000"/>
                <w:kern w:val="0"/>
                <w:sz w:val="27"/>
                <w:szCs w:val="27"/>
                <w:lang w:eastAsia="zh-CN" w:bidi="ar"/>
              </w:rPr>
            </w:pPr>
            <w:r>
              <w:rPr>
                <w:rFonts w:hint="eastAsia" w:ascii="仿宋" w:hAnsi="仿宋" w:eastAsia="仿宋" w:cs="仿宋"/>
                <w:color w:val="000000"/>
                <w:kern w:val="0"/>
                <w:sz w:val="27"/>
                <w:szCs w:val="27"/>
                <w:lang w:bidi="ar"/>
              </w:rPr>
              <w:t>25</w:t>
            </w:r>
            <w:r>
              <w:rPr>
                <w:rFonts w:hint="eastAsia" w:ascii="仿宋" w:hAnsi="仿宋" w:eastAsia="仿宋" w:cs="仿宋"/>
                <w:color w:val="000000"/>
                <w:kern w:val="0"/>
                <w:sz w:val="27"/>
                <w:szCs w:val="27"/>
                <w:lang w:val="en-US" w:eastAsia="zh-CN" w:bidi="ar"/>
              </w:rPr>
              <w:t>7</w:t>
            </w:r>
          </w:p>
        </w:tc>
      </w:tr>
    </w:tbl>
    <w:p>
      <w:pPr>
        <w:widowControl/>
        <w:spacing w:line="580" w:lineRule="exact"/>
        <w:jc w:val="center"/>
        <w:rPr>
          <w:rFonts w:ascii="创艺简标宋" w:hAnsi="华文宋体" w:eastAsia="创艺简标宋"/>
          <w:color w:val="000000"/>
          <w:kern w:val="32"/>
          <w:sz w:val="40"/>
          <w:szCs w:val="36"/>
        </w:rPr>
        <w:sectPr>
          <w:pgSz w:w="11906" w:h="16838"/>
          <w:pgMar w:top="1440" w:right="1576" w:bottom="1440" w:left="1576" w:header="851" w:footer="992" w:gutter="0"/>
          <w:pgNumType w:fmt="numberInDash"/>
          <w:cols w:space="720" w:num="1"/>
          <w:docGrid w:type="linesAndChars" w:linePitch="317" w:charSpace="0"/>
        </w:sectPr>
      </w:pPr>
    </w:p>
    <w:p>
      <w:pPr>
        <w:widowControl/>
        <w:spacing w:after="158" w:afterLines="50" w:line="580" w:lineRule="exact"/>
        <w:rPr>
          <w:rFonts w:ascii="创艺简标宋" w:hAnsi="华文宋体" w:eastAsia="创艺简标宋"/>
          <w:color w:val="000000"/>
          <w:kern w:val="32"/>
          <w:sz w:val="40"/>
          <w:szCs w:val="36"/>
        </w:rPr>
      </w:pPr>
      <w:r>
        <w:rPr>
          <w:rFonts w:hint="eastAsia" w:ascii="创艺简标宋" w:hAnsi="华文宋体" w:eastAsia="创艺简标宋"/>
          <w:color w:val="000000"/>
          <w:kern w:val="32"/>
          <w:sz w:val="40"/>
          <w:szCs w:val="36"/>
        </w:rPr>
        <w:t>附件2：</w:t>
      </w:r>
    </w:p>
    <w:p>
      <w:pPr>
        <w:widowControl/>
        <w:spacing w:line="580" w:lineRule="exact"/>
        <w:jc w:val="center"/>
        <w:rPr>
          <w:rFonts w:ascii="创艺简标宋" w:hAnsi="华文宋体" w:eastAsia="创艺简标宋"/>
          <w:color w:val="000000"/>
          <w:kern w:val="32"/>
          <w:sz w:val="40"/>
          <w:szCs w:val="36"/>
        </w:rPr>
      </w:pPr>
      <w:r>
        <w:rPr>
          <w:rFonts w:hint="eastAsia" w:ascii="创艺简标宋" w:hAnsi="华文宋体" w:eastAsia="创艺简标宋"/>
          <w:color w:val="000000"/>
          <w:kern w:val="32"/>
          <w:sz w:val="40"/>
          <w:szCs w:val="36"/>
        </w:rPr>
        <w:t>慈溪市低效企业基本情况调查核实汇总表（1）</w:t>
      </w:r>
    </w:p>
    <w:p>
      <w:pPr>
        <w:spacing w:line="580" w:lineRule="exact"/>
        <w:jc w:val="left"/>
        <w:rPr>
          <w:rFonts w:ascii="仿宋_GB2312" w:eastAsia="仿宋_GB2312"/>
          <w:color w:val="000000"/>
          <w:sz w:val="24"/>
          <w:szCs w:val="32"/>
        </w:rPr>
      </w:pPr>
      <w:r>
        <w:rPr>
          <w:rFonts w:hint="eastAsia" w:ascii="仿宋_GB2312" w:hAnsi="宋体" w:eastAsia="仿宋_GB2312" w:cs="宋体"/>
          <w:color w:val="000000"/>
          <w:kern w:val="0"/>
          <w:szCs w:val="21"/>
        </w:rPr>
        <w:t>调查单位（盖章）：                            填报人：                  电话：                     填报时间：      年    月    日</w:t>
      </w:r>
    </w:p>
    <w:tbl>
      <w:tblPr>
        <w:tblStyle w:val="5"/>
        <w:tblW w:w="13992" w:type="dxa"/>
        <w:jc w:val="center"/>
        <w:tblInd w:w="0" w:type="dxa"/>
        <w:tblLayout w:type="fixed"/>
        <w:tblCellMar>
          <w:top w:w="0" w:type="dxa"/>
          <w:left w:w="108" w:type="dxa"/>
          <w:bottom w:w="0" w:type="dxa"/>
          <w:right w:w="108" w:type="dxa"/>
        </w:tblCellMar>
      </w:tblPr>
      <w:tblGrid>
        <w:gridCol w:w="268"/>
        <w:gridCol w:w="286"/>
        <w:gridCol w:w="304"/>
        <w:gridCol w:w="286"/>
        <w:gridCol w:w="304"/>
        <w:gridCol w:w="304"/>
        <w:gridCol w:w="321"/>
        <w:gridCol w:w="759"/>
        <w:gridCol w:w="558"/>
        <w:gridCol w:w="558"/>
        <w:gridCol w:w="558"/>
        <w:gridCol w:w="567"/>
        <w:gridCol w:w="531"/>
        <w:gridCol w:w="837"/>
        <w:gridCol w:w="620"/>
        <w:gridCol w:w="404"/>
        <w:gridCol w:w="556"/>
        <w:gridCol w:w="531"/>
        <w:gridCol w:w="549"/>
        <w:gridCol w:w="732"/>
        <w:gridCol w:w="805"/>
        <w:gridCol w:w="786"/>
        <w:gridCol w:w="741"/>
        <w:gridCol w:w="267"/>
        <w:gridCol w:w="405"/>
        <w:gridCol w:w="321"/>
        <w:gridCol w:w="567"/>
        <w:gridCol w:w="267"/>
      </w:tblGrid>
      <w:tr>
        <w:tblPrEx>
          <w:tblLayout w:type="fixed"/>
          <w:tblCellMar>
            <w:top w:w="0" w:type="dxa"/>
            <w:left w:w="108" w:type="dxa"/>
            <w:bottom w:w="0" w:type="dxa"/>
            <w:right w:w="108" w:type="dxa"/>
          </w:tblCellMar>
        </w:tblPrEx>
        <w:trPr>
          <w:trHeight w:val="568" w:hRule="atLeast"/>
          <w:jc w:val="center"/>
        </w:trPr>
        <w:tc>
          <w:tcPr>
            <w:tcW w:w="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p>
        </w:tc>
        <w:tc>
          <w:tcPr>
            <w:tcW w:w="286"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A</w:t>
            </w:r>
          </w:p>
        </w:tc>
        <w:tc>
          <w:tcPr>
            <w:tcW w:w="304"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B</w:t>
            </w:r>
          </w:p>
        </w:tc>
        <w:tc>
          <w:tcPr>
            <w:tcW w:w="286"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C</w:t>
            </w:r>
          </w:p>
        </w:tc>
        <w:tc>
          <w:tcPr>
            <w:tcW w:w="304"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D</w:t>
            </w:r>
          </w:p>
        </w:tc>
        <w:tc>
          <w:tcPr>
            <w:tcW w:w="304"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E</w:t>
            </w:r>
          </w:p>
        </w:tc>
        <w:tc>
          <w:tcPr>
            <w:tcW w:w="321"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F</w:t>
            </w:r>
          </w:p>
        </w:tc>
        <w:tc>
          <w:tcPr>
            <w:tcW w:w="759"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G</w:t>
            </w:r>
          </w:p>
        </w:tc>
        <w:tc>
          <w:tcPr>
            <w:tcW w:w="558"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H</w:t>
            </w:r>
          </w:p>
        </w:tc>
        <w:tc>
          <w:tcPr>
            <w:tcW w:w="558"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I</w:t>
            </w:r>
          </w:p>
        </w:tc>
        <w:tc>
          <w:tcPr>
            <w:tcW w:w="558"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J</w:t>
            </w:r>
          </w:p>
        </w:tc>
        <w:tc>
          <w:tcPr>
            <w:tcW w:w="567"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K</w:t>
            </w:r>
          </w:p>
        </w:tc>
        <w:tc>
          <w:tcPr>
            <w:tcW w:w="531"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L</w:t>
            </w:r>
          </w:p>
        </w:tc>
        <w:tc>
          <w:tcPr>
            <w:tcW w:w="837"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M</w:t>
            </w:r>
          </w:p>
        </w:tc>
        <w:tc>
          <w:tcPr>
            <w:tcW w:w="620"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N</w:t>
            </w:r>
          </w:p>
        </w:tc>
        <w:tc>
          <w:tcPr>
            <w:tcW w:w="404"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O</w:t>
            </w:r>
          </w:p>
        </w:tc>
        <w:tc>
          <w:tcPr>
            <w:tcW w:w="556"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P</w:t>
            </w:r>
          </w:p>
        </w:tc>
        <w:tc>
          <w:tcPr>
            <w:tcW w:w="531"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Q</w:t>
            </w:r>
          </w:p>
        </w:tc>
        <w:tc>
          <w:tcPr>
            <w:tcW w:w="549"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R</w:t>
            </w:r>
          </w:p>
        </w:tc>
        <w:tc>
          <w:tcPr>
            <w:tcW w:w="732"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S</w:t>
            </w:r>
          </w:p>
        </w:tc>
        <w:tc>
          <w:tcPr>
            <w:tcW w:w="805"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T</w:t>
            </w:r>
          </w:p>
        </w:tc>
        <w:tc>
          <w:tcPr>
            <w:tcW w:w="786"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U</w:t>
            </w:r>
          </w:p>
        </w:tc>
        <w:tc>
          <w:tcPr>
            <w:tcW w:w="741"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V</w:t>
            </w:r>
          </w:p>
        </w:tc>
        <w:tc>
          <w:tcPr>
            <w:tcW w:w="267"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W</w:t>
            </w:r>
          </w:p>
        </w:tc>
        <w:tc>
          <w:tcPr>
            <w:tcW w:w="405"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X</w:t>
            </w:r>
          </w:p>
        </w:tc>
        <w:tc>
          <w:tcPr>
            <w:tcW w:w="321"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Y</w:t>
            </w:r>
          </w:p>
        </w:tc>
        <w:tc>
          <w:tcPr>
            <w:tcW w:w="567"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Z</w:t>
            </w:r>
          </w:p>
        </w:tc>
        <w:tc>
          <w:tcPr>
            <w:tcW w:w="267" w:type="dxa"/>
            <w:tcBorders>
              <w:top w:val="single" w:color="auto" w:sz="4" w:space="0"/>
              <w:left w:val="nil"/>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p>
        </w:tc>
      </w:tr>
      <w:tr>
        <w:tblPrEx>
          <w:tblLayout w:type="fixed"/>
          <w:tblCellMar>
            <w:top w:w="0" w:type="dxa"/>
            <w:left w:w="108" w:type="dxa"/>
            <w:bottom w:w="0" w:type="dxa"/>
            <w:right w:w="108" w:type="dxa"/>
          </w:tblCellMar>
        </w:tblPrEx>
        <w:trPr>
          <w:trHeight w:val="435" w:hRule="atLeast"/>
          <w:jc w:val="center"/>
        </w:trPr>
        <w:tc>
          <w:tcPr>
            <w:tcW w:w="268"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序号</w:t>
            </w:r>
          </w:p>
        </w:tc>
        <w:tc>
          <w:tcPr>
            <w:tcW w:w="286"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公司名称</w:t>
            </w:r>
          </w:p>
        </w:tc>
        <w:tc>
          <w:tcPr>
            <w:tcW w:w="304"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组织机构代码</w:t>
            </w:r>
          </w:p>
        </w:tc>
        <w:tc>
          <w:tcPr>
            <w:tcW w:w="286"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地域代码</w:t>
            </w:r>
          </w:p>
        </w:tc>
        <w:tc>
          <w:tcPr>
            <w:tcW w:w="304"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所</w:t>
            </w:r>
            <w:bookmarkStart w:id="0" w:name="_GoBack"/>
            <w:bookmarkEnd w:id="0"/>
            <w:r>
              <w:rPr>
                <w:rFonts w:hint="eastAsia" w:ascii="黑体" w:hAnsi="黑体" w:eastAsia="黑体" w:cs="宋体"/>
                <w:color w:val="000000"/>
                <w:kern w:val="0"/>
                <w:szCs w:val="21"/>
              </w:rPr>
              <w:t>属行业代码</w:t>
            </w:r>
          </w:p>
        </w:tc>
        <w:tc>
          <w:tcPr>
            <w:tcW w:w="304"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登记注册类型</w:t>
            </w:r>
          </w:p>
        </w:tc>
        <w:tc>
          <w:tcPr>
            <w:tcW w:w="321"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社会统一信用代码</w:t>
            </w:r>
          </w:p>
        </w:tc>
        <w:tc>
          <w:tcPr>
            <w:tcW w:w="759"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上年年平均职工人数（人）</w:t>
            </w:r>
          </w:p>
        </w:tc>
        <w:tc>
          <w:tcPr>
            <w:tcW w:w="55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上一年年工业产值（千元）</w:t>
            </w:r>
          </w:p>
        </w:tc>
        <w:tc>
          <w:tcPr>
            <w:tcW w:w="558"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上一年年利润总额（千元）</w:t>
            </w:r>
          </w:p>
        </w:tc>
        <w:tc>
          <w:tcPr>
            <w:tcW w:w="558"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上一年年营业收入（千元）</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上一年主营业务收入（千元）</w:t>
            </w:r>
          </w:p>
        </w:tc>
        <w:tc>
          <w:tcPr>
            <w:tcW w:w="531"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工业增加值（千元）</w:t>
            </w:r>
          </w:p>
        </w:tc>
        <w:tc>
          <w:tcPr>
            <w:tcW w:w="837"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等价综合能耗（tce）</w:t>
            </w:r>
          </w:p>
        </w:tc>
        <w:tc>
          <w:tcPr>
            <w:tcW w:w="620"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用电量（万kWh）</w:t>
            </w:r>
          </w:p>
        </w:tc>
        <w:tc>
          <w:tcPr>
            <w:tcW w:w="404"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用水量（m</w:t>
            </w:r>
            <w:r>
              <w:rPr>
                <w:rFonts w:hint="eastAsia" w:ascii="宋体" w:hAnsi="宋体" w:cs="宋体"/>
                <w:color w:val="000000"/>
                <w:kern w:val="0"/>
                <w:szCs w:val="21"/>
              </w:rPr>
              <w:t>³</w:t>
            </w:r>
            <w:r>
              <w:rPr>
                <w:rFonts w:hint="eastAsia" w:ascii="黑体" w:hAnsi="黑体" w:eastAsia="黑体" w:cs="宋体"/>
                <w:color w:val="000000"/>
                <w:kern w:val="0"/>
                <w:szCs w:val="21"/>
              </w:rPr>
              <w:t>）</w:t>
            </w:r>
          </w:p>
        </w:tc>
        <w:tc>
          <w:tcPr>
            <w:tcW w:w="556"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R&amp;D经费内部支出（千元）</w:t>
            </w:r>
          </w:p>
        </w:tc>
        <w:tc>
          <w:tcPr>
            <w:tcW w:w="531"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一次性税收（千元）</w:t>
            </w:r>
          </w:p>
        </w:tc>
        <w:tc>
          <w:tcPr>
            <w:tcW w:w="549"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税费实际贡献数（千元）</w:t>
            </w:r>
          </w:p>
        </w:tc>
        <w:tc>
          <w:tcPr>
            <w:tcW w:w="732" w:type="dxa"/>
            <w:vMerge w:val="restart"/>
            <w:tcBorders>
              <w:top w:val="single" w:color="auto" w:sz="4" w:space="0"/>
              <w:left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土地登记面积（亩）</w:t>
            </w:r>
          </w:p>
        </w:tc>
        <w:tc>
          <w:tcPr>
            <w:tcW w:w="805"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出租或其他方式分割出去的面积（亩）</w:t>
            </w:r>
          </w:p>
        </w:tc>
        <w:tc>
          <w:tcPr>
            <w:tcW w:w="786"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租赁或其他方式占用的面积（亩）</w:t>
            </w:r>
          </w:p>
        </w:tc>
        <w:tc>
          <w:tcPr>
            <w:tcW w:w="741"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污染物排放总量（吨）</w:t>
            </w:r>
          </w:p>
        </w:tc>
        <w:tc>
          <w:tcPr>
            <w:tcW w:w="267"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地址</w:t>
            </w:r>
          </w:p>
        </w:tc>
        <w:tc>
          <w:tcPr>
            <w:tcW w:w="405" w:type="dxa"/>
            <w:vMerge w:val="restart"/>
            <w:tcBorders>
              <w:top w:val="nil"/>
              <w:left w:val="single" w:color="auto" w:sz="4" w:space="0"/>
              <w:bottom w:val="single" w:color="auto" w:sz="4" w:space="0"/>
              <w:right w:val="single" w:color="auto" w:sz="4" w:space="0"/>
            </w:tcBorders>
            <w:vAlign w:val="center"/>
          </w:tcPr>
          <w:p>
            <w:pPr>
              <w:widowControl/>
              <w:spacing w:line="320" w:lineRule="exact"/>
              <w:ind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法定代表人及电话</w:t>
            </w:r>
          </w:p>
        </w:tc>
        <w:tc>
          <w:tcPr>
            <w:tcW w:w="321"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日常联系人及电话</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企业所属乡镇、园区、行政村</w:t>
            </w:r>
          </w:p>
        </w:tc>
        <w:tc>
          <w:tcPr>
            <w:tcW w:w="267" w:type="dxa"/>
            <w:vMerge w:val="restart"/>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黑体" w:hAnsi="黑体" w:eastAsia="黑体" w:cs="宋体"/>
                <w:color w:val="000000"/>
                <w:kern w:val="0"/>
                <w:szCs w:val="21"/>
              </w:rPr>
            </w:pPr>
            <w:r>
              <w:rPr>
                <w:rFonts w:hint="eastAsia" w:ascii="黑体" w:hAnsi="黑体" w:eastAsia="黑体" w:cs="宋体"/>
                <w:color w:val="000000"/>
                <w:kern w:val="0"/>
                <w:szCs w:val="21"/>
              </w:rPr>
              <w:t>备注</w:t>
            </w:r>
          </w:p>
        </w:tc>
      </w:tr>
      <w:tr>
        <w:tblPrEx>
          <w:tblLayout w:type="fixed"/>
          <w:tblCellMar>
            <w:top w:w="0" w:type="dxa"/>
            <w:left w:w="108" w:type="dxa"/>
            <w:bottom w:w="0" w:type="dxa"/>
            <w:right w:w="108" w:type="dxa"/>
          </w:tblCellMar>
        </w:tblPrEx>
        <w:trPr>
          <w:trHeight w:val="435" w:hRule="atLeast"/>
          <w:jc w:val="center"/>
        </w:trPr>
        <w:tc>
          <w:tcPr>
            <w:tcW w:w="268"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286"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304"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286"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304"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304"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321"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759"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558"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558"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558"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531"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837"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620"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404"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556"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531"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549"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732" w:type="dxa"/>
            <w:vMerge w:val="continue"/>
            <w:tcBorders>
              <w:top w:val="single" w:color="auto" w:sz="4" w:space="0"/>
              <w:left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805"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786"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741"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267"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405"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321"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267"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r>
      <w:tr>
        <w:tblPrEx>
          <w:tblLayout w:type="fixed"/>
          <w:tblCellMar>
            <w:top w:w="0" w:type="dxa"/>
            <w:left w:w="108" w:type="dxa"/>
            <w:bottom w:w="0" w:type="dxa"/>
            <w:right w:w="108" w:type="dxa"/>
          </w:tblCellMar>
        </w:tblPrEx>
        <w:trPr>
          <w:trHeight w:val="1675" w:hRule="atLeast"/>
          <w:jc w:val="center"/>
        </w:trPr>
        <w:tc>
          <w:tcPr>
            <w:tcW w:w="268"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286"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304"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286"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304"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304"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321"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759"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558"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558"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558"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531"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837"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620"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404"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556"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531"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549"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805"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786"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741"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267"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405"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321"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c>
          <w:tcPr>
            <w:tcW w:w="267" w:type="dxa"/>
            <w:vMerge w:val="continue"/>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left"/>
              <w:rPr>
                <w:rFonts w:ascii="仿宋_GB2312" w:hAnsi="宋体" w:eastAsia="仿宋_GB2312" w:cs="宋体"/>
                <w:color w:val="000000"/>
                <w:kern w:val="0"/>
                <w:szCs w:val="21"/>
              </w:rPr>
            </w:pPr>
          </w:p>
        </w:tc>
      </w:tr>
      <w:tr>
        <w:tblPrEx>
          <w:tblLayout w:type="fixed"/>
          <w:tblCellMar>
            <w:top w:w="0" w:type="dxa"/>
            <w:left w:w="108" w:type="dxa"/>
            <w:bottom w:w="0" w:type="dxa"/>
            <w:right w:w="108" w:type="dxa"/>
          </w:tblCellMar>
        </w:tblPrEx>
        <w:trPr>
          <w:trHeight w:val="764" w:hRule="atLeast"/>
          <w:jc w:val="center"/>
        </w:trPr>
        <w:tc>
          <w:tcPr>
            <w:tcW w:w="268" w:type="dxa"/>
            <w:tcBorders>
              <w:top w:val="nil"/>
              <w:left w:val="single" w:color="auto" w:sz="4" w:space="0"/>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286"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304"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286"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304"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304"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321"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759"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558"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558"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558"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567"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531"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837"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620"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404"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556"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531"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549"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732" w:type="dxa"/>
            <w:tcBorders>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805"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786"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741"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267"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405" w:type="dxa"/>
            <w:tcBorders>
              <w:top w:val="nil"/>
              <w:left w:val="nil"/>
              <w:bottom w:val="single" w:color="auto" w:sz="4" w:space="0"/>
              <w:right w:val="single" w:color="auto" w:sz="4" w:space="0"/>
            </w:tcBorders>
            <w:vAlign w:val="center"/>
          </w:tcPr>
          <w:p>
            <w:pPr>
              <w:widowControl/>
              <w:spacing w:line="320" w:lineRule="exact"/>
              <w:ind w:right="-84" w:rightChars="-40"/>
              <w:jc w:val="center"/>
              <w:rPr>
                <w:rFonts w:ascii="仿宋_GB2312" w:hAnsi="宋体" w:eastAsia="仿宋_GB2312" w:cs="宋体"/>
                <w:color w:val="000000"/>
                <w:kern w:val="0"/>
                <w:szCs w:val="21"/>
              </w:rPr>
            </w:pPr>
          </w:p>
        </w:tc>
        <w:tc>
          <w:tcPr>
            <w:tcW w:w="321" w:type="dxa"/>
            <w:tcBorders>
              <w:top w:val="nil"/>
              <w:left w:val="nil"/>
              <w:bottom w:val="single" w:color="auto" w:sz="4" w:space="0"/>
              <w:right w:val="single" w:color="auto" w:sz="4" w:space="0"/>
            </w:tcBorders>
            <w:vAlign w:val="center"/>
          </w:tcPr>
          <w:p>
            <w:pPr>
              <w:widowControl/>
              <w:spacing w:line="320" w:lineRule="exact"/>
              <w:ind w:left="-84" w:leftChars="-40" w:right="-84" w:rightChars="-40"/>
              <w:jc w:val="center"/>
              <w:rPr>
                <w:rFonts w:ascii="仿宋_GB2312" w:hAnsi="宋体" w:eastAsia="仿宋_GB2312" w:cs="宋体"/>
                <w:color w:val="000000"/>
                <w:kern w:val="0"/>
                <w:szCs w:val="21"/>
              </w:rPr>
            </w:pPr>
          </w:p>
        </w:tc>
        <w:tc>
          <w:tcPr>
            <w:tcW w:w="567" w:type="dxa"/>
            <w:tcBorders>
              <w:top w:val="nil"/>
              <w:left w:val="nil"/>
              <w:bottom w:val="single" w:color="auto" w:sz="4" w:space="0"/>
              <w:right w:val="single" w:color="auto" w:sz="4" w:space="0"/>
            </w:tcBorders>
            <w:vAlign w:val="center"/>
          </w:tcPr>
          <w:p>
            <w:pPr>
              <w:widowControl/>
              <w:spacing w:line="320" w:lineRule="exact"/>
              <w:ind w:right="-84" w:rightChars="-40"/>
              <w:jc w:val="center"/>
              <w:rPr>
                <w:rFonts w:ascii="仿宋_GB2312" w:hAnsi="宋体" w:eastAsia="仿宋_GB2312" w:cs="宋体"/>
                <w:color w:val="000000"/>
                <w:kern w:val="0"/>
                <w:szCs w:val="21"/>
              </w:rPr>
            </w:pPr>
          </w:p>
        </w:tc>
        <w:tc>
          <w:tcPr>
            <w:tcW w:w="267" w:type="dxa"/>
            <w:tcBorders>
              <w:top w:val="nil"/>
              <w:left w:val="nil"/>
              <w:bottom w:val="single" w:color="auto" w:sz="4" w:space="0"/>
              <w:right w:val="single" w:color="auto" w:sz="4" w:space="0"/>
            </w:tcBorders>
            <w:vAlign w:val="center"/>
          </w:tcPr>
          <w:p>
            <w:pPr>
              <w:spacing w:line="320" w:lineRule="exact"/>
              <w:ind w:left="-84" w:leftChars="-40" w:right="-84" w:rightChars="-40"/>
              <w:jc w:val="center"/>
              <w:rPr>
                <w:rFonts w:ascii="仿宋_GB2312" w:hAnsi="宋体" w:eastAsia="仿宋_GB2312" w:cs="宋体"/>
                <w:color w:val="000000"/>
                <w:kern w:val="0"/>
                <w:szCs w:val="21"/>
              </w:rPr>
            </w:pPr>
          </w:p>
        </w:tc>
      </w:tr>
      <w:tr>
        <w:tblPrEx>
          <w:tblLayout w:type="fixed"/>
          <w:tblCellMar>
            <w:top w:w="0" w:type="dxa"/>
            <w:left w:w="108" w:type="dxa"/>
            <w:bottom w:w="0" w:type="dxa"/>
            <w:right w:w="108" w:type="dxa"/>
          </w:tblCellMar>
        </w:tblPrEx>
        <w:trPr>
          <w:trHeight w:val="375" w:hRule="atLeast"/>
          <w:jc w:val="center"/>
        </w:trPr>
        <w:tc>
          <w:tcPr>
            <w:tcW w:w="13992" w:type="dxa"/>
            <w:gridSpan w:val="28"/>
            <w:tcBorders>
              <w:top w:val="nil"/>
              <w:left w:val="nil"/>
              <w:bottom w:val="nil"/>
              <w:right w:val="nil"/>
            </w:tcBorders>
            <w:vAlign w:val="center"/>
          </w:tcPr>
          <w:p>
            <w:pPr>
              <w:widowControl/>
              <w:spacing w:before="158" w:beforeLines="50" w:line="340" w:lineRule="exact"/>
              <w:ind w:left="-84" w:leftChars="-40" w:right="-84" w:rightChars="-40"/>
              <w:jc w:val="left"/>
              <w:rPr>
                <w:rFonts w:ascii="楷体_GB2312" w:hAnsi="仿宋" w:eastAsia="楷体_GB2312" w:cs="宋体"/>
                <w:color w:val="000000"/>
                <w:kern w:val="0"/>
                <w:szCs w:val="21"/>
              </w:rPr>
            </w:pPr>
            <w:r>
              <w:rPr>
                <w:rFonts w:hint="eastAsia" w:ascii="楷体_GB2312" w:hAnsi="仿宋" w:eastAsia="楷体_GB2312" w:cs="宋体"/>
                <w:color w:val="000000"/>
                <w:kern w:val="0"/>
                <w:szCs w:val="21"/>
              </w:rPr>
              <w:t>注：</w:t>
            </w:r>
          </w:p>
          <w:p>
            <w:pPr>
              <w:widowControl/>
              <w:spacing w:line="340" w:lineRule="exact"/>
              <w:ind w:left="-84" w:leftChars="-40" w:right="-84" w:rightChars="-40"/>
              <w:jc w:val="left"/>
              <w:rPr>
                <w:rFonts w:ascii="楷体_GB2312" w:hAnsi="宋体" w:eastAsia="楷体_GB2312" w:cs="宋体"/>
                <w:color w:val="000000"/>
                <w:kern w:val="0"/>
                <w:szCs w:val="21"/>
              </w:rPr>
            </w:pPr>
            <w:r>
              <w:rPr>
                <w:rFonts w:hint="eastAsia" w:ascii="楷体_GB2312" w:hAnsi="宋体" w:eastAsia="楷体_GB2312"/>
                <w:color w:val="000000"/>
              </w:rPr>
              <w:t>1.根据《关于明确宁波市企业综合评价相关指标取数规范的通知》（甬工强办〔2017〕4号）规定的数据口径进行取数、核实、纠偏</w:t>
            </w:r>
            <w:r>
              <w:rPr>
                <w:rFonts w:hint="eastAsia" w:ascii="楷体_GB2312" w:hAnsi="宋体" w:eastAsia="楷体_GB2312"/>
                <w:color w:val="000000"/>
                <w:lang w:eastAsia="zh-CN"/>
              </w:rPr>
              <w:t>，如宁波市有新规定，则从新规定</w:t>
            </w:r>
            <w:r>
              <w:rPr>
                <w:rFonts w:hint="eastAsia" w:ascii="楷体_GB2312" w:hAnsi="宋体" w:eastAsia="楷体_GB2312"/>
                <w:color w:val="000000"/>
              </w:rPr>
              <w:t>。</w:t>
            </w:r>
            <w:r>
              <w:rPr>
                <w:rFonts w:hint="eastAsia" w:ascii="楷体_GB2312" w:hAnsi="仿宋" w:eastAsia="楷体_GB2312" w:cs="宋体"/>
                <w:color w:val="000000"/>
                <w:kern w:val="0"/>
                <w:szCs w:val="21"/>
                <w:highlight w:val="red"/>
              </w:rPr>
              <w:br w:type="textWrapping"/>
            </w:r>
            <w:r>
              <w:rPr>
                <w:rFonts w:hint="eastAsia" w:ascii="楷体_GB2312" w:hAnsi="仿宋" w:eastAsia="楷体_GB2312" w:cs="宋体"/>
                <w:color w:val="000000"/>
                <w:kern w:val="0"/>
                <w:szCs w:val="21"/>
              </w:rPr>
              <w:t>2.规上工业企业对</w:t>
            </w:r>
            <w:r>
              <w:rPr>
                <w:rFonts w:hint="eastAsia" w:ascii="楷体_GB2312" w:hAnsi="宋体" w:eastAsia="楷体_GB2312" w:cs="宋体"/>
                <w:color w:val="000000"/>
                <w:kern w:val="0"/>
                <w:szCs w:val="21"/>
              </w:rPr>
              <w:t>A-Z</w:t>
            </w:r>
            <w:r>
              <w:rPr>
                <w:rFonts w:hint="eastAsia" w:ascii="楷体_GB2312" w:hAnsi="仿宋" w:eastAsia="楷体_GB2312" w:cs="宋体"/>
                <w:color w:val="000000"/>
                <w:kern w:val="0"/>
                <w:szCs w:val="21"/>
              </w:rPr>
              <w:t>所有信息，规下工业企业对</w:t>
            </w:r>
            <w:r>
              <w:rPr>
                <w:rFonts w:hint="eastAsia" w:ascii="楷体_GB2312" w:hAnsi="宋体" w:eastAsia="楷体_GB2312" w:cs="宋体"/>
                <w:color w:val="000000"/>
                <w:kern w:val="0"/>
                <w:szCs w:val="21"/>
              </w:rPr>
              <w:t>ABCDEFRSTUWXYZ项进行</w:t>
            </w:r>
            <w:r>
              <w:rPr>
                <w:rFonts w:hint="eastAsia" w:ascii="楷体_GB2312" w:hAnsi="仿宋" w:eastAsia="楷体_GB2312" w:cs="宋体"/>
                <w:color w:val="000000"/>
                <w:kern w:val="0"/>
                <w:szCs w:val="21"/>
              </w:rPr>
              <w:t>采集、核实</w:t>
            </w:r>
            <w:r>
              <w:rPr>
                <w:rFonts w:hint="eastAsia" w:ascii="楷体_GB2312" w:hAnsi="宋体" w:eastAsia="楷体_GB2312" w:cs="宋体"/>
                <w:color w:val="000000"/>
                <w:kern w:val="0"/>
                <w:szCs w:val="21"/>
              </w:rPr>
              <w:t>。</w:t>
            </w:r>
          </w:p>
          <w:p>
            <w:pPr>
              <w:widowControl/>
              <w:spacing w:line="340" w:lineRule="exact"/>
              <w:ind w:left="-84" w:leftChars="-40" w:right="-84" w:rightChars="-40"/>
              <w:jc w:val="left"/>
              <w:rPr>
                <w:rFonts w:ascii="楷体_GB2312" w:hAnsi="宋体" w:eastAsia="楷体_GB2312" w:cs="宋体"/>
                <w:color w:val="000000"/>
                <w:kern w:val="0"/>
                <w:szCs w:val="21"/>
              </w:rPr>
            </w:pPr>
            <w:r>
              <w:rPr>
                <w:rFonts w:hint="eastAsia" w:ascii="楷体_GB2312" w:hAnsi="仿宋" w:eastAsia="楷体_GB2312" w:cs="宋体"/>
                <w:color w:val="000000"/>
                <w:kern w:val="0"/>
                <w:szCs w:val="21"/>
              </w:rPr>
              <w:t>3.</w:t>
            </w:r>
            <w:r>
              <w:rPr>
                <w:rFonts w:hint="eastAsia" w:ascii="楷体_GB2312" w:hAnsi="仿宋" w:eastAsia="楷体_GB2312" w:cs="宋体"/>
                <w:color w:val="000000"/>
                <w:spacing w:val="-4"/>
                <w:kern w:val="0"/>
                <w:szCs w:val="21"/>
              </w:rPr>
              <w:t>全市所有单位在整个综合评价工作流程中统一使用此表及其规定格式。不要改动表格中的指标、单位、排列顺序，以免造成汇总、统计中的错误。</w:t>
            </w:r>
          </w:p>
        </w:tc>
      </w:tr>
    </w:tbl>
    <w:p>
      <w:pPr>
        <w:spacing w:line="340" w:lineRule="exact"/>
        <w:ind w:left="-72" w:leftChars="-40" w:hanging="12" w:hangingChars="6"/>
        <w:rPr>
          <w:rFonts w:ascii="楷体_GB2312" w:hAnsi="宋体" w:eastAsia="楷体_GB2312"/>
          <w:color w:val="000000"/>
        </w:rPr>
      </w:pPr>
      <w:r>
        <w:rPr>
          <w:rFonts w:hint="eastAsia" w:ascii="楷体_GB2312" w:eastAsia="楷体_GB2312"/>
          <w:color w:val="000000"/>
        </w:rPr>
        <w:t>4.“Z”栏由乡镇街道（园区）核实、填报，入园企业的填报格式为</w:t>
      </w:r>
      <w:r>
        <w:rPr>
          <w:rFonts w:hint="eastAsia" w:ascii="楷体_GB2312" w:hAnsi="宋体" w:eastAsia="楷体_GB2312"/>
          <w:color w:val="000000"/>
        </w:rPr>
        <w:t>××乡（镇、街道）××园区，未入园企业为乡（镇、街道）××村。</w:t>
      </w:r>
    </w:p>
    <w:p>
      <w:pPr>
        <w:spacing w:line="340" w:lineRule="exact"/>
        <w:ind w:left="-72" w:leftChars="-40" w:hanging="12" w:hangingChars="6"/>
        <w:rPr>
          <w:rFonts w:ascii="楷体_GB2312" w:hAnsi="宋体" w:eastAsia="楷体_GB2312"/>
          <w:color w:val="000000"/>
        </w:rPr>
      </w:pPr>
      <w:r>
        <w:rPr>
          <w:rFonts w:hint="eastAsia" w:ascii="楷体_GB2312" w:hAnsi="宋体" w:eastAsia="楷体_GB2312"/>
          <w:color w:val="000000"/>
        </w:rPr>
        <w:t>5.“V”栏指化学需氧量+氨氮排放量+二氧化硫排放量+氮氧物排放量之和。</w:t>
      </w:r>
    </w:p>
    <w:p>
      <w:pPr>
        <w:spacing w:line="340" w:lineRule="exact"/>
        <w:ind w:left="-72" w:leftChars="-40" w:hanging="12" w:hangingChars="6"/>
        <w:rPr>
          <w:rFonts w:ascii="楷体_GB2312" w:eastAsia="楷体_GB2312"/>
          <w:color w:val="000000"/>
        </w:rPr>
      </w:pPr>
      <w:r>
        <w:rPr>
          <w:rFonts w:hint="eastAsia" w:ascii="楷体_GB2312" w:eastAsia="楷体_GB2312"/>
          <w:color w:val="000000"/>
        </w:rPr>
        <w:t>6.此表与每年综合评价调查核实所用表格一致，可直接调用。</w:t>
      </w:r>
    </w:p>
    <w:p>
      <w:pPr>
        <w:widowControl/>
        <w:spacing w:after="158" w:afterLines="50" w:line="580" w:lineRule="exact"/>
        <w:ind w:firstLine="400" w:firstLineChars="100"/>
        <w:rPr>
          <w:rFonts w:ascii="创艺简标宋" w:hAnsi="华文宋体" w:eastAsia="创艺简标宋"/>
          <w:color w:val="000000"/>
          <w:kern w:val="32"/>
          <w:sz w:val="40"/>
          <w:szCs w:val="36"/>
        </w:rPr>
        <w:sectPr>
          <w:pgSz w:w="16838" w:h="11906" w:orient="landscape"/>
          <w:pgMar w:top="1576" w:right="1440" w:bottom="1576" w:left="1440" w:header="851" w:footer="992" w:gutter="0"/>
          <w:pgNumType w:fmt="numberInDash"/>
          <w:cols w:space="720" w:num="1"/>
          <w:docGrid w:type="lines" w:linePitch="317" w:charSpace="0"/>
        </w:sectPr>
      </w:pPr>
    </w:p>
    <w:p>
      <w:pPr>
        <w:widowControl/>
        <w:spacing w:after="158" w:afterLines="50" w:line="580" w:lineRule="exact"/>
        <w:rPr>
          <w:rFonts w:ascii="创艺简标宋" w:hAnsi="华文宋体" w:eastAsia="创艺简标宋"/>
          <w:color w:val="000000"/>
          <w:kern w:val="32"/>
          <w:sz w:val="40"/>
          <w:szCs w:val="36"/>
        </w:rPr>
      </w:pPr>
      <w:r>
        <w:rPr>
          <w:rFonts w:hint="eastAsia" w:ascii="创艺简标宋" w:hAnsi="华文宋体" w:eastAsia="创艺简标宋"/>
          <w:color w:val="000000"/>
          <w:kern w:val="32"/>
          <w:sz w:val="40"/>
          <w:szCs w:val="36"/>
        </w:rPr>
        <w:t>附件3：</w:t>
      </w:r>
    </w:p>
    <w:p>
      <w:pPr>
        <w:widowControl/>
        <w:spacing w:after="158" w:afterLines="50" w:line="580" w:lineRule="exact"/>
        <w:ind w:firstLine="400" w:firstLineChars="100"/>
        <w:jc w:val="center"/>
        <w:rPr>
          <w:rFonts w:ascii="创艺简标宋" w:hAnsi="华文宋体" w:eastAsia="创艺简标宋"/>
          <w:color w:val="000000"/>
          <w:kern w:val="32"/>
          <w:sz w:val="40"/>
          <w:szCs w:val="36"/>
        </w:rPr>
      </w:pPr>
      <w:r>
        <w:rPr>
          <w:rFonts w:hint="eastAsia" w:ascii="创艺简标宋" w:hAnsi="华文宋体" w:eastAsia="创艺简标宋"/>
          <w:color w:val="000000"/>
          <w:kern w:val="32"/>
          <w:sz w:val="40"/>
          <w:szCs w:val="36"/>
        </w:rPr>
        <w:t>慈溪市低效企业基本情况调查核实表（2）</w:t>
      </w:r>
    </w:p>
    <w:p>
      <w:pPr>
        <w:widowControl/>
        <w:spacing w:after="158" w:afterLines="50" w:line="580" w:lineRule="exact"/>
        <w:ind w:firstLine="720" w:firstLineChars="300"/>
        <w:rPr>
          <w:rFonts w:ascii="宋体" w:hAnsi="宋体" w:cs="宋体"/>
          <w:color w:val="000000"/>
          <w:kern w:val="0"/>
          <w:sz w:val="24"/>
          <w:szCs w:val="24"/>
        </w:rPr>
      </w:pPr>
      <w:r>
        <w:rPr>
          <w:rFonts w:hint="eastAsia" w:ascii="宋体" w:hAnsi="宋体" w:cs="宋体"/>
          <w:color w:val="000000"/>
          <w:kern w:val="0"/>
          <w:sz w:val="24"/>
          <w:szCs w:val="24"/>
        </w:rPr>
        <w:t>企业单位：______________                                               调查日期：     年    月    日</w:t>
      </w:r>
    </w:p>
    <w:tbl>
      <w:tblPr>
        <w:tblStyle w:val="6"/>
        <w:tblW w:w="13276" w:type="dxa"/>
        <w:jc w:val="center"/>
        <w:tblInd w:w="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937"/>
        <w:gridCol w:w="576"/>
        <w:gridCol w:w="54"/>
        <w:gridCol w:w="710"/>
        <w:gridCol w:w="1045"/>
        <w:gridCol w:w="330"/>
        <w:gridCol w:w="338"/>
        <w:gridCol w:w="164"/>
        <w:gridCol w:w="646"/>
        <w:gridCol w:w="99"/>
        <w:gridCol w:w="88"/>
        <w:gridCol w:w="135"/>
        <w:gridCol w:w="550"/>
        <w:gridCol w:w="215"/>
        <w:gridCol w:w="795"/>
        <w:gridCol w:w="163"/>
        <w:gridCol w:w="377"/>
        <w:gridCol w:w="34"/>
        <w:gridCol w:w="281"/>
        <w:gridCol w:w="990"/>
        <w:gridCol w:w="159"/>
        <w:gridCol w:w="276"/>
        <w:gridCol w:w="106"/>
        <w:gridCol w:w="209"/>
        <w:gridCol w:w="336"/>
        <w:gridCol w:w="314"/>
        <w:gridCol w:w="545"/>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6" w:type="dxa"/>
            <w:vMerge w:val="restart"/>
            <w:tcBorders>
              <w:top w:val="single" w:color="auto" w:sz="18" w:space="0"/>
              <w:left w:val="single" w:color="auto" w:sz="18" w:space="0"/>
            </w:tcBorders>
            <w:vAlign w:val="center"/>
          </w:tcPr>
          <w:p>
            <w:pPr>
              <w:snapToGrid w:val="0"/>
              <w:rPr>
                <w:rFonts w:ascii="仿宋" w:hAnsi="仿宋" w:eastAsia="仿宋" w:cs="仿宋"/>
                <w:color w:val="000000"/>
                <w:kern w:val="0"/>
                <w:sz w:val="24"/>
                <w:szCs w:val="24"/>
              </w:rPr>
            </w:pPr>
            <w:r>
              <w:rPr>
                <w:rFonts w:hint="eastAsia" w:ascii="仿宋" w:hAnsi="仿宋" w:eastAsia="仿宋" w:cs="仿宋"/>
                <w:color w:val="000000"/>
                <w:kern w:val="0"/>
                <w:sz w:val="24"/>
                <w:szCs w:val="24"/>
              </w:rPr>
              <w:t>企业现状</w:t>
            </w:r>
          </w:p>
        </w:tc>
        <w:tc>
          <w:tcPr>
            <w:tcW w:w="1567" w:type="dxa"/>
            <w:gridSpan w:val="3"/>
            <w:vMerge w:val="restart"/>
            <w:tcBorders>
              <w:top w:val="single" w:color="auto" w:sz="18" w:space="0"/>
            </w:tcBorders>
            <w:vAlign w:val="center"/>
          </w:tcPr>
          <w:p>
            <w:pPr>
              <w:snapToGrid w:val="0"/>
              <w:rPr>
                <w:rFonts w:ascii="仿宋" w:hAnsi="仿宋" w:eastAsia="仿宋" w:cs="仿宋"/>
                <w:color w:val="000000"/>
                <w:kern w:val="0"/>
                <w:sz w:val="24"/>
                <w:szCs w:val="24"/>
              </w:rPr>
            </w:pP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正常</w:t>
            </w:r>
          </w:p>
          <w:p>
            <w:pPr>
              <w:snapToGrid w:val="0"/>
              <w:rPr>
                <w:rFonts w:ascii="仿宋" w:hAnsi="仿宋" w:eastAsia="仿宋" w:cs="仿宋"/>
                <w:color w:val="000000"/>
                <w:kern w:val="0"/>
                <w:sz w:val="24"/>
                <w:szCs w:val="24"/>
              </w:rPr>
            </w:pP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停产</w:t>
            </w:r>
          </w:p>
          <w:p>
            <w:pPr>
              <w:snapToGrid w:val="0"/>
              <w:rPr>
                <w:rFonts w:ascii="仿宋" w:hAnsi="仿宋" w:eastAsia="仿宋" w:cs="仿宋"/>
                <w:color w:val="000000"/>
                <w:kern w:val="0"/>
                <w:sz w:val="24"/>
                <w:szCs w:val="24"/>
              </w:rPr>
            </w:pP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数据未反映在该企业</w:t>
            </w:r>
          </w:p>
          <w:p>
            <w:pPr>
              <w:snapToGrid w:val="0"/>
              <w:rPr>
                <w:rFonts w:ascii="仿宋" w:hAnsi="仿宋" w:eastAsia="仿宋" w:cs="仿宋"/>
                <w:color w:val="000000"/>
                <w:kern w:val="0"/>
                <w:sz w:val="24"/>
                <w:szCs w:val="24"/>
              </w:rPr>
            </w:pPr>
          </w:p>
        </w:tc>
        <w:tc>
          <w:tcPr>
            <w:tcW w:w="1755" w:type="dxa"/>
            <w:gridSpan w:val="2"/>
            <w:tcBorders>
              <w:top w:val="single" w:color="auto" w:sz="18" w:space="0"/>
            </w:tcBorders>
            <w:vAlign w:val="center"/>
          </w:tcPr>
          <w:p>
            <w:pPr>
              <w:kinsoku w:val="0"/>
              <w:overflowPunct w:val="0"/>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变更</w:t>
            </w:r>
          </w:p>
        </w:tc>
        <w:tc>
          <w:tcPr>
            <w:tcW w:w="1665" w:type="dxa"/>
            <w:gridSpan w:val="6"/>
            <w:tcBorders>
              <w:top w:val="single" w:color="auto" w:sz="18" w:space="0"/>
            </w:tcBorders>
            <w:vAlign w:val="center"/>
          </w:tcPr>
          <w:p>
            <w:pPr>
              <w:kinsoku w:val="0"/>
              <w:overflowPunct w:val="0"/>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变更企业全称</w:t>
            </w:r>
          </w:p>
        </w:tc>
        <w:tc>
          <w:tcPr>
            <w:tcW w:w="1858" w:type="dxa"/>
            <w:gridSpan w:val="5"/>
            <w:tcBorders>
              <w:top w:val="single" w:color="auto" w:sz="18" w:space="0"/>
            </w:tcBorders>
            <w:vAlign w:val="center"/>
          </w:tcPr>
          <w:p>
            <w:pPr>
              <w:kinsoku w:val="0"/>
              <w:overflowPunct w:val="0"/>
              <w:adjustRightInd w:val="0"/>
              <w:snapToGrid w:val="0"/>
              <w:jc w:val="center"/>
              <w:rPr>
                <w:rFonts w:ascii="仿宋" w:hAnsi="仿宋" w:eastAsia="仿宋" w:cs="仿宋"/>
                <w:color w:val="000000"/>
                <w:kern w:val="0"/>
                <w:sz w:val="24"/>
                <w:szCs w:val="24"/>
              </w:rPr>
            </w:pPr>
          </w:p>
        </w:tc>
        <w:tc>
          <w:tcPr>
            <w:tcW w:w="2223" w:type="dxa"/>
            <w:gridSpan w:val="7"/>
            <w:tcBorders>
              <w:top w:val="single" w:color="auto" w:sz="18" w:space="0"/>
            </w:tcBorders>
            <w:vAlign w:val="center"/>
          </w:tcPr>
          <w:p>
            <w:pPr>
              <w:kinsoku w:val="0"/>
              <w:overflowPunct w:val="0"/>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统一社会信用代码</w:t>
            </w:r>
          </w:p>
        </w:tc>
        <w:tc>
          <w:tcPr>
            <w:tcW w:w="2902" w:type="dxa"/>
            <w:gridSpan w:val="5"/>
            <w:tcBorders>
              <w:top w:val="single" w:color="auto" w:sz="18" w:space="0"/>
              <w:right w:val="single" w:color="auto" w:sz="18" w:space="0"/>
            </w:tcBorders>
            <w:vAlign w:val="center"/>
          </w:tcPr>
          <w:p>
            <w:pPr>
              <w:kinsoku w:val="0"/>
              <w:overflowPunct w:val="0"/>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6" w:type="dxa"/>
            <w:vMerge w:val="continue"/>
            <w:tcBorders>
              <w:left w:val="single" w:color="auto" w:sz="18" w:space="0"/>
            </w:tcBorders>
            <w:vAlign w:val="center"/>
          </w:tcPr>
          <w:p>
            <w:pPr>
              <w:snapToGrid w:val="0"/>
              <w:rPr>
                <w:rFonts w:ascii="仿宋" w:hAnsi="仿宋" w:eastAsia="仿宋" w:cs="仿宋"/>
              </w:rPr>
            </w:pPr>
          </w:p>
        </w:tc>
        <w:tc>
          <w:tcPr>
            <w:tcW w:w="1567" w:type="dxa"/>
            <w:gridSpan w:val="3"/>
            <w:vMerge w:val="continue"/>
            <w:vAlign w:val="center"/>
          </w:tcPr>
          <w:p>
            <w:pPr>
              <w:snapToGrid w:val="0"/>
              <w:jc w:val="center"/>
              <w:rPr>
                <w:rFonts w:ascii="仿宋" w:hAnsi="仿宋" w:eastAsia="仿宋" w:cs="仿宋"/>
              </w:rPr>
            </w:pPr>
          </w:p>
        </w:tc>
        <w:tc>
          <w:tcPr>
            <w:tcW w:w="1755" w:type="dxa"/>
            <w:gridSpan w:val="2"/>
            <w:vAlign w:val="center"/>
          </w:tcPr>
          <w:p>
            <w:pPr>
              <w:kinsoku w:val="0"/>
              <w:overflowPunct w:val="0"/>
              <w:adjustRightInd w:val="0"/>
              <w:snapToGrid w:val="0"/>
              <w:jc w:val="center"/>
              <w:rPr>
                <w:rFonts w:ascii="仿宋" w:hAnsi="仿宋" w:eastAsia="仿宋" w:cs="仿宋"/>
              </w:rPr>
            </w:pP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关联</w:t>
            </w:r>
          </w:p>
        </w:tc>
        <w:tc>
          <w:tcPr>
            <w:tcW w:w="1665" w:type="dxa"/>
            <w:gridSpan w:val="6"/>
            <w:vAlign w:val="center"/>
          </w:tcPr>
          <w:p>
            <w:pPr>
              <w:kinsoku w:val="0"/>
              <w:overflowPunct w:val="0"/>
              <w:adjustRightInd w:val="0"/>
              <w:snapToGrid w:val="0"/>
              <w:jc w:val="center"/>
              <w:rPr>
                <w:rFonts w:ascii="仿宋" w:hAnsi="仿宋" w:eastAsia="仿宋" w:cs="仿宋"/>
              </w:rPr>
            </w:pPr>
            <w:r>
              <w:rPr>
                <w:rFonts w:hint="eastAsia" w:ascii="仿宋" w:hAnsi="仿宋" w:eastAsia="仿宋" w:cs="仿宋"/>
                <w:color w:val="000000"/>
                <w:kern w:val="0"/>
                <w:sz w:val="24"/>
                <w:szCs w:val="24"/>
              </w:rPr>
              <w:t>关联企业全称</w:t>
            </w:r>
          </w:p>
        </w:tc>
        <w:tc>
          <w:tcPr>
            <w:tcW w:w="1858" w:type="dxa"/>
            <w:gridSpan w:val="5"/>
            <w:vAlign w:val="center"/>
          </w:tcPr>
          <w:p>
            <w:pPr>
              <w:kinsoku w:val="0"/>
              <w:overflowPunct w:val="0"/>
              <w:adjustRightInd w:val="0"/>
              <w:snapToGrid w:val="0"/>
              <w:jc w:val="center"/>
              <w:rPr>
                <w:rFonts w:ascii="仿宋" w:hAnsi="仿宋" w:eastAsia="仿宋" w:cs="仿宋"/>
              </w:rPr>
            </w:pPr>
          </w:p>
        </w:tc>
        <w:tc>
          <w:tcPr>
            <w:tcW w:w="2223" w:type="dxa"/>
            <w:gridSpan w:val="7"/>
            <w:vAlign w:val="center"/>
          </w:tcPr>
          <w:p>
            <w:pPr>
              <w:kinsoku w:val="0"/>
              <w:overflowPunct w:val="0"/>
              <w:adjustRightInd w:val="0"/>
              <w:snapToGrid w:val="0"/>
              <w:jc w:val="center"/>
              <w:rPr>
                <w:rFonts w:ascii="仿宋" w:hAnsi="仿宋" w:eastAsia="仿宋" w:cs="仿宋"/>
              </w:rPr>
            </w:pPr>
            <w:r>
              <w:rPr>
                <w:rFonts w:hint="eastAsia" w:ascii="仿宋" w:hAnsi="仿宋" w:eastAsia="仿宋" w:cs="仿宋"/>
                <w:color w:val="000000"/>
                <w:kern w:val="0"/>
                <w:sz w:val="24"/>
                <w:szCs w:val="24"/>
              </w:rPr>
              <w:t>统一社会信用代码</w:t>
            </w:r>
          </w:p>
        </w:tc>
        <w:tc>
          <w:tcPr>
            <w:tcW w:w="2902" w:type="dxa"/>
            <w:gridSpan w:val="5"/>
            <w:tcBorders>
              <w:right w:val="single" w:color="auto" w:sz="18" w:space="0"/>
            </w:tcBorders>
            <w:vAlign w:val="center"/>
          </w:tcPr>
          <w:p>
            <w:pPr>
              <w:kinsoku w:val="0"/>
              <w:overflowPunct w:val="0"/>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6" w:type="dxa"/>
            <w:vMerge w:val="continue"/>
            <w:tcBorders>
              <w:left w:val="single" w:color="auto" w:sz="18" w:space="0"/>
            </w:tcBorders>
            <w:vAlign w:val="center"/>
          </w:tcPr>
          <w:p>
            <w:pPr>
              <w:snapToGrid w:val="0"/>
              <w:rPr>
                <w:rFonts w:ascii="仿宋" w:hAnsi="仿宋" w:eastAsia="仿宋" w:cs="仿宋"/>
              </w:rPr>
            </w:pPr>
          </w:p>
        </w:tc>
        <w:tc>
          <w:tcPr>
            <w:tcW w:w="1567" w:type="dxa"/>
            <w:gridSpan w:val="3"/>
            <w:vMerge w:val="continue"/>
            <w:vAlign w:val="center"/>
          </w:tcPr>
          <w:p>
            <w:pPr>
              <w:snapToGrid w:val="0"/>
              <w:jc w:val="center"/>
              <w:rPr>
                <w:rFonts w:ascii="仿宋" w:hAnsi="仿宋" w:eastAsia="仿宋" w:cs="仿宋"/>
              </w:rPr>
            </w:pPr>
          </w:p>
        </w:tc>
        <w:tc>
          <w:tcPr>
            <w:tcW w:w="1755" w:type="dxa"/>
            <w:gridSpan w:val="2"/>
            <w:vAlign w:val="center"/>
          </w:tcPr>
          <w:p>
            <w:pPr>
              <w:kinsoku w:val="0"/>
              <w:overflowPunct w:val="0"/>
              <w:adjustRightInd w:val="0"/>
              <w:snapToGrid w:val="0"/>
              <w:jc w:val="center"/>
              <w:rPr>
                <w:rFonts w:ascii="仿宋" w:hAnsi="仿宋" w:eastAsia="仿宋" w:cs="仿宋"/>
              </w:rPr>
            </w:pP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换壳</w:t>
            </w:r>
          </w:p>
        </w:tc>
        <w:tc>
          <w:tcPr>
            <w:tcW w:w="1665" w:type="dxa"/>
            <w:gridSpan w:val="6"/>
            <w:vAlign w:val="center"/>
          </w:tcPr>
          <w:p>
            <w:pPr>
              <w:kinsoku w:val="0"/>
              <w:overflowPunct w:val="0"/>
              <w:adjustRightInd w:val="0"/>
              <w:snapToGrid w:val="0"/>
              <w:jc w:val="center"/>
              <w:rPr>
                <w:rFonts w:ascii="仿宋" w:hAnsi="仿宋" w:eastAsia="仿宋" w:cs="仿宋"/>
              </w:rPr>
            </w:pPr>
            <w:r>
              <w:rPr>
                <w:rFonts w:hint="eastAsia" w:ascii="仿宋" w:hAnsi="仿宋" w:eastAsia="仿宋" w:cs="仿宋"/>
                <w:color w:val="000000"/>
                <w:kern w:val="0"/>
                <w:sz w:val="24"/>
                <w:szCs w:val="24"/>
              </w:rPr>
              <w:t>新设企业全称</w:t>
            </w:r>
          </w:p>
        </w:tc>
        <w:tc>
          <w:tcPr>
            <w:tcW w:w="1858" w:type="dxa"/>
            <w:gridSpan w:val="5"/>
            <w:vAlign w:val="center"/>
          </w:tcPr>
          <w:p>
            <w:pPr>
              <w:kinsoku w:val="0"/>
              <w:overflowPunct w:val="0"/>
              <w:adjustRightInd w:val="0"/>
              <w:snapToGrid w:val="0"/>
              <w:jc w:val="center"/>
              <w:rPr>
                <w:rFonts w:ascii="仿宋" w:hAnsi="仿宋" w:eastAsia="仿宋" w:cs="仿宋"/>
              </w:rPr>
            </w:pPr>
          </w:p>
        </w:tc>
        <w:tc>
          <w:tcPr>
            <w:tcW w:w="2223" w:type="dxa"/>
            <w:gridSpan w:val="7"/>
            <w:vAlign w:val="center"/>
          </w:tcPr>
          <w:p>
            <w:pPr>
              <w:kinsoku w:val="0"/>
              <w:overflowPunct w:val="0"/>
              <w:adjustRightInd w:val="0"/>
              <w:snapToGrid w:val="0"/>
              <w:jc w:val="center"/>
              <w:rPr>
                <w:rFonts w:ascii="仿宋" w:hAnsi="仿宋" w:eastAsia="仿宋" w:cs="仿宋"/>
              </w:rPr>
            </w:pPr>
            <w:r>
              <w:rPr>
                <w:rFonts w:hint="eastAsia" w:ascii="仿宋" w:hAnsi="仿宋" w:eastAsia="仿宋" w:cs="仿宋"/>
                <w:color w:val="000000"/>
                <w:kern w:val="0"/>
                <w:sz w:val="24"/>
                <w:szCs w:val="24"/>
              </w:rPr>
              <w:t>统一社会信用代码</w:t>
            </w:r>
          </w:p>
        </w:tc>
        <w:tc>
          <w:tcPr>
            <w:tcW w:w="2902" w:type="dxa"/>
            <w:gridSpan w:val="5"/>
            <w:tcBorders>
              <w:right w:val="single" w:color="auto" w:sz="18" w:space="0"/>
            </w:tcBorders>
            <w:vAlign w:val="center"/>
          </w:tcPr>
          <w:p>
            <w:pPr>
              <w:kinsoku w:val="0"/>
              <w:overflowPunct w:val="0"/>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6" w:type="dxa"/>
            <w:vMerge w:val="continue"/>
            <w:tcBorders>
              <w:left w:val="single" w:color="auto" w:sz="18" w:space="0"/>
            </w:tcBorders>
            <w:vAlign w:val="center"/>
          </w:tcPr>
          <w:p>
            <w:pPr>
              <w:snapToGrid w:val="0"/>
              <w:rPr>
                <w:rFonts w:ascii="仿宋" w:hAnsi="仿宋" w:eastAsia="仿宋" w:cs="仿宋"/>
              </w:rPr>
            </w:pPr>
          </w:p>
        </w:tc>
        <w:tc>
          <w:tcPr>
            <w:tcW w:w="1567" w:type="dxa"/>
            <w:gridSpan w:val="3"/>
            <w:vMerge w:val="continue"/>
            <w:vAlign w:val="center"/>
          </w:tcPr>
          <w:p>
            <w:pPr>
              <w:snapToGrid w:val="0"/>
              <w:jc w:val="center"/>
              <w:rPr>
                <w:rFonts w:ascii="仿宋" w:hAnsi="仿宋" w:eastAsia="仿宋" w:cs="仿宋"/>
              </w:rPr>
            </w:pPr>
          </w:p>
        </w:tc>
        <w:tc>
          <w:tcPr>
            <w:tcW w:w="1755" w:type="dxa"/>
            <w:gridSpan w:val="2"/>
            <w:vAlign w:val="center"/>
          </w:tcPr>
          <w:p>
            <w:pPr>
              <w:kinsoku w:val="0"/>
              <w:overflowPunct w:val="0"/>
              <w:adjustRightInd w:val="0"/>
              <w:snapToGrid w:val="0"/>
              <w:jc w:val="center"/>
              <w:rPr>
                <w:rFonts w:ascii="仿宋" w:hAnsi="仿宋" w:eastAsia="仿宋" w:cs="仿宋"/>
              </w:rPr>
            </w:pP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转让</w:t>
            </w:r>
          </w:p>
        </w:tc>
        <w:tc>
          <w:tcPr>
            <w:tcW w:w="1665" w:type="dxa"/>
            <w:gridSpan w:val="6"/>
            <w:vAlign w:val="center"/>
          </w:tcPr>
          <w:p>
            <w:pPr>
              <w:kinsoku w:val="0"/>
              <w:overflowPunct w:val="0"/>
              <w:adjustRightInd w:val="0"/>
              <w:snapToGrid w:val="0"/>
              <w:jc w:val="center"/>
              <w:rPr>
                <w:rFonts w:ascii="仿宋" w:hAnsi="仿宋" w:eastAsia="仿宋" w:cs="仿宋"/>
              </w:rPr>
            </w:pPr>
            <w:r>
              <w:rPr>
                <w:rFonts w:hint="eastAsia" w:ascii="仿宋" w:hAnsi="仿宋" w:eastAsia="仿宋" w:cs="仿宋"/>
                <w:color w:val="000000"/>
                <w:kern w:val="0"/>
                <w:sz w:val="24"/>
                <w:szCs w:val="24"/>
              </w:rPr>
              <w:t>受让企业全称</w:t>
            </w:r>
          </w:p>
        </w:tc>
        <w:tc>
          <w:tcPr>
            <w:tcW w:w="1858" w:type="dxa"/>
            <w:gridSpan w:val="5"/>
            <w:vAlign w:val="center"/>
          </w:tcPr>
          <w:p>
            <w:pPr>
              <w:kinsoku w:val="0"/>
              <w:overflowPunct w:val="0"/>
              <w:adjustRightInd w:val="0"/>
              <w:snapToGrid w:val="0"/>
              <w:jc w:val="center"/>
              <w:rPr>
                <w:rFonts w:ascii="仿宋" w:hAnsi="仿宋" w:eastAsia="仿宋" w:cs="仿宋"/>
              </w:rPr>
            </w:pPr>
          </w:p>
        </w:tc>
        <w:tc>
          <w:tcPr>
            <w:tcW w:w="2223" w:type="dxa"/>
            <w:gridSpan w:val="7"/>
            <w:vAlign w:val="center"/>
          </w:tcPr>
          <w:p>
            <w:pPr>
              <w:kinsoku w:val="0"/>
              <w:overflowPunct w:val="0"/>
              <w:adjustRightInd w:val="0"/>
              <w:snapToGrid w:val="0"/>
              <w:jc w:val="center"/>
              <w:rPr>
                <w:rFonts w:ascii="仿宋" w:hAnsi="仿宋" w:eastAsia="仿宋" w:cs="仿宋"/>
              </w:rPr>
            </w:pPr>
            <w:r>
              <w:rPr>
                <w:rFonts w:hint="eastAsia" w:ascii="仿宋" w:hAnsi="仿宋" w:eastAsia="仿宋" w:cs="仿宋"/>
                <w:color w:val="000000"/>
                <w:kern w:val="0"/>
                <w:sz w:val="24"/>
                <w:szCs w:val="24"/>
              </w:rPr>
              <w:t>统一社会信用代码</w:t>
            </w:r>
          </w:p>
        </w:tc>
        <w:tc>
          <w:tcPr>
            <w:tcW w:w="2902" w:type="dxa"/>
            <w:gridSpan w:val="5"/>
            <w:tcBorders>
              <w:right w:val="single" w:color="auto" w:sz="18" w:space="0"/>
            </w:tcBorders>
            <w:vAlign w:val="center"/>
          </w:tcPr>
          <w:p>
            <w:pPr>
              <w:kinsoku w:val="0"/>
              <w:overflowPunct w:val="0"/>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06" w:type="dxa"/>
            <w:vMerge w:val="continue"/>
            <w:tcBorders>
              <w:left w:val="single" w:color="auto" w:sz="18" w:space="0"/>
              <w:bottom w:val="single" w:color="auto" w:sz="18" w:space="0"/>
            </w:tcBorders>
            <w:vAlign w:val="center"/>
          </w:tcPr>
          <w:p>
            <w:pPr>
              <w:snapToGrid w:val="0"/>
              <w:rPr>
                <w:rFonts w:ascii="仿宋" w:hAnsi="仿宋" w:eastAsia="仿宋" w:cs="仿宋"/>
              </w:rPr>
            </w:pPr>
          </w:p>
        </w:tc>
        <w:tc>
          <w:tcPr>
            <w:tcW w:w="1567" w:type="dxa"/>
            <w:gridSpan w:val="3"/>
            <w:vMerge w:val="continue"/>
            <w:tcBorders>
              <w:bottom w:val="single" w:color="auto" w:sz="18" w:space="0"/>
            </w:tcBorders>
            <w:vAlign w:val="center"/>
          </w:tcPr>
          <w:p>
            <w:pPr>
              <w:snapToGrid w:val="0"/>
              <w:jc w:val="center"/>
              <w:rPr>
                <w:rFonts w:ascii="仿宋" w:hAnsi="仿宋" w:eastAsia="仿宋" w:cs="仿宋"/>
              </w:rPr>
            </w:pPr>
          </w:p>
        </w:tc>
        <w:tc>
          <w:tcPr>
            <w:tcW w:w="2587" w:type="dxa"/>
            <w:gridSpan w:val="5"/>
            <w:tcBorders>
              <w:bottom w:val="single" w:color="auto" w:sz="18" w:space="0"/>
            </w:tcBorders>
            <w:vAlign w:val="center"/>
          </w:tcPr>
          <w:p>
            <w:pPr>
              <w:kinsoku w:val="0"/>
              <w:overflowPunct w:val="0"/>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其他_____________</w:t>
            </w:r>
          </w:p>
        </w:tc>
        <w:tc>
          <w:tcPr>
            <w:tcW w:w="1733" w:type="dxa"/>
            <w:gridSpan w:val="6"/>
            <w:tcBorders>
              <w:bottom w:val="single" w:color="auto" w:sz="18" w:space="0"/>
            </w:tcBorders>
            <w:vAlign w:val="center"/>
          </w:tcPr>
          <w:p>
            <w:pPr>
              <w:kinsoku w:val="0"/>
              <w:overflowPunct w:val="0"/>
              <w:adjustRightInd w:val="0"/>
              <w:snapToGrid w:val="0"/>
            </w:pPr>
            <w:r>
              <w:rPr>
                <w:rFonts w:hint="eastAsia" w:ascii="仿宋" w:hAnsi="仿宋" w:eastAsia="仿宋" w:cs="仿宋"/>
                <w:color w:val="000000"/>
                <w:kern w:val="0"/>
                <w:sz w:val="24"/>
                <w:szCs w:val="24"/>
              </w:rPr>
              <w:t>相关企业全称</w:t>
            </w:r>
          </w:p>
        </w:tc>
        <w:tc>
          <w:tcPr>
            <w:tcW w:w="2799" w:type="dxa"/>
            <w:gridSpan w:val="7"/>
            <w:tcBorders>
              <w:bottom w:val="single" w:color="auto" w:sz="18" w:space="0"/>
            </w:tcBorders>
            <w:vAlign w:val="center"/>
          </w:tcPr>
          <w:p>
            <w:pPr>
              <w:kinsoku w:val="0"/>
              <w:overflowPunct w:val="0"/>
              <w:adjustRightInd w:val="0"/>
              <w:snapToGrid w:val="0"/>
            </w:pPr>
          </w:p>
        </w:tc>
        <w:tc>
          <w:tcPr>
            <w:tcW w:w="1241" w:type="dxa"/>
            <w:gridSpan w:val="5"/>
            <w:tcBorders>
              <w:bottom w:val="single" w:color="auto" w:sz="18" w:space="0"/>
            </w:tcBorders>
            <w:vAlign w:val="center"/>
          </w:tcPr>
          <w:p>
            <w:pPr>
              <w:kinsoku w:val="0"/>
              <w:overflowPunct w:val="0"/>
              <w:adjustRightInd w:val="0"/>
              <w:snapToGrid w:val="0"/>
            </w:pPr>
            <w:r>
              <w:rPr>
                <w:rFonts w:hint="eastAsia" w:ascii="仿宋" w:hAnsi="仿宋" w:eastAsia="仿宋" w:cs="仿宋"/>
                <w:color w:val="000000"/>
                <w:kern w:val="0"/>
                <w:sz w:val="24"/>
                <w:szCs w:val="24"/>
              </w:rPr>
              <w:t>统一社会信用代码</w:t>
            </w:r>
          </w:p>
        </w:tc>
        <w:tc>
          <w:tcPr>
            <w:tcW w:w="2043" w:type="dxa"/>
            <w:gridSpan w:val="2"/>
            <w:tcBorders>
              <w:bottom w:val="single" w:color="auto" w:sz="18" w:space="0"/>
              <w:right w:val="single" w:color="auto" w:sz="18" w:space="0"/>
            </w:tcBorders>
            <w:vAlign w:val="center"/>
          </w:tcPr>
          <w:p>
            <w:pPr>
              <w:kinsoku w:val="0"/>
              <w:overflowPunct w:val="0"/>
              <w:adjustRightInd w:val="0"/>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306" w:type="dxa"/>
            <w:vMerge w:val="restart"/>
            <w:tcBorders>
              <w:top w:val="single" w:color="auto" w:sz="18" w:space="0"/>
              <w:left w:val="single" w:color="auto" w:sz="18" w:space="0"/>
            </w:tcBorders>
            <w:vAlign w:val="center"/>
          </w:tcPr>
          <w:p>
            <w:pPr>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地块所有权情况</w:t>
            </w:r>
          </w:p>
        </w:tc>
        <w:tc>
          <w:tcPr>
            <w:tcW w:w="937" w:type="dxa"/>
            <w:tcBorders>
              <w:top w:val="single" w:color="auto" w:sz="18" w:space="0"/>
            </w:tcBorders>
            <w:vAlign w:val="center"/>
          </w:tcPr>
          <w:p>
            <w:pPr>
              <w:widowControl/>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自有</w:t>
            </w:r>
          </w:p>
        </w:tc>
        <w:tc>
          <w:tcPr>
            <w:tcW w:w="1340" w:type="dxa"/>
            <w:gridSpan w:val="3"/>
            <w:tcBorders>
              <w:top w:val="single" w:color="auto" w:sz="18" w:space="0"/>
            </w:tcBorders>
            <w:vAlign w:val="center"/>
          </w:tcPr>
          <w:p>
            <w:pPr>
              <w:widowControl/>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土地证号</w:t>
            </w:r>
          </w:p>
        </w:tc>
        <w:tc>
          <w:tcPr>
            <w:tcW w:w="1375" w:type="dxa"/>
            <w:gridSpan w:val="2"/>
            <w:tcBorders>
              <w:top w:val="single" w:color="auto" w:sz="18" w:space="0"/>
            </w:tcBorders>
            <w:vAlign w:val="center"/>
          </w:tcPr>
          <w:p>
            <w:pPr>
              <w:widowControl/>
              <w:snapToGrid w:val="0"/>
              <w:jc w:val="center"/>
              <w:rPr>
                <w:rFonts w:ascii="仿宋" w:hAnsi="仿宋" w:eastAsia="仿宋" w:cs="仿宋"/>
                <w:color w:val="000000"/>
                <w:kern w:val="0"/>
                <w:sz w:val="24"/>
                <w:szCs w:val="24"/>
              </w:rPr>
            </w:pPr>
          </w:p>
        </w:tc>
        <w:tc>
          <w:tcPr>
            <w:tcW w:w="1470" w:type="dxa"/>
            <w:gridSpan w:val="6"/>
            <w:tcBorders>
              <w:top w:val="single" w:color="auto" w:sz="18" w:space="0"/>
            </w:tcBorders>
            <w:vAlign w:val="center"/>
          </w:tcPr>
          <w:p>
            <w:pPr>
              <w:widowControl/>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证载面积</w:t>
            </w:r>
          </w:p>
        </w:tc>
        <w:tc>
          <w:tcPr>
            <w:tcW w:w="1560" w:type="dxa"/>
            <w:gridSpan w:val="3"/>
            <w:tcBorders>
              <w:top w:val="single" w:color="auto" w:sz="18" w:space="0"/>
            </w:tcBorders>
            <w:vAlign w:val="center"/>
          </w:tcPr>
          <w:p>
            <w:pPr>
              <w:widowControl/>
              <w:snapToGrid w:val="0"/>
              <w:jc w:val="center"/>
              <w:rPr>
                <w:rFonts w:ascii="仿宋" w:hAnsi="仿宋" w:eastAsia="仿宋" w:cs="仿宋"/>
                <w:color w:val="000000"/>
                <w:kern w:val="0"/>
                <w:sz w:val="24"/>
                <w:szCs w:val="24"/>
              </w:rPr>
            </w:pPr>
          </w:p>
        </w:tc>
        <w:tc>
          <w:tcPr>
            <w:tcW w:w="1845" w:type="dxa"/>
            <w:gridSpan w:val="5"/>
            <w:tcBorders>
              <w:top w:val="single" w:color="auto" w:sz="18" w:space="0"/>
            </w:tcBorders>
            <w:vAlign w:val="center"/>
          </w:tcPr>
          <w:p>
            <w:pPr>
              <w:widowControl/>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事实用地面积</w:t>
            </w:r>
          </w:p>
        </w:tc>
        <w:tc>
          <w:tcPr>
            <w:tcW w:w="3443" w:type="dxa"/>
            <w:gridSpan w:val="8"/>
            <w:tcBorders>
              <w:top w:val="single" w:color="auto" w:sz="18" w:space="0"/>
              <w:right w:val="single" w:color="auto" w:sz="18" w:space="0"/>
            </w:tcBorders>
            <w:vAlign w:val="center"/>
          </w:tcPr>
          <w:p>
            <w:pPr>
              <w:widowControl/>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306" w:type="dxa"/>
            <w:vMerge w:val="continue"/>
            <w:tcBorders>
              <w:left w:val="single" w:color="auto" w:sz="18" w:space="0"/>
              <w:bottom w:val="single" w:color="auto" w:sz="18" w:space="0"/>
            </w:tcBorders>
            <w:vAlign w:val="center"/>
          </w:tcPr>
          <w:p>
            <w:pPr>
              <w:widowControl/>
              <w:spacing w:after="158" w:afterLines="50" w:line="580" w:lineRule="exact"/>
            </w:pPr>
          </w:p>
        </w:tc>
        <w:tc>
          <w:tcPr>
            <w:tcW w:w="937" w:type="dxa"/>
            <w:tcBorders>
              <w:bottom w:val="single" w:color="auto" w:sz="18" w:space="0"/>
            </w:tcBorders>
            <w:vAlign w:val="center"/>
          </w:tcPr>
          <w:p>
            <w:pPr>
              <w:widowControl/>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租赁</w:t>
            </w:r>
          </w:p>
        </w:tc>
        <w:tc>
          <w:tcPr>
            <w:tcW w:w="1340" w:type="dxa"/>
            <w:gridSpan w:val="3"/>
            <w:tcBorders>
              <w:bottom w:val="single" w:color="auto" w:sz="18" w:space="0"/>
            </w:tcBorders>
            <w:vAlign w:val="center"/>
          </w:tcPr>
          <w:p>
            <w:pPr>
              <w:widowControl/>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租赁面积</w:t>
            </w:r>
          </w:p>
        </w:tc>
        <w:tc>
          <w:tcPr>
            <w:tcW w:w="1713" w:type="dxa"/>
            <w:gridSpan w:val="3"/>
            <w:tcBorders>
              <w:bottom w:val="single" w:color="auto" w:sz="18" w:space="0"/>
            </w:tcBorders>
            <w:vAlign w:val="center"/>
          </w:tcPr>
          <w:p>
            <w:pPr>
              <w:widowControl/>
              <w:snapToGrid w:val="0"/>
              <w:jc w:val="center"/>
              <w:rPr>
                <w:rFonts w:ascii="仿宋" w:hAnsi="仿宋" w:eastAsia="仿宋" w:cs="仿宋"/>
                <w:color w:val="000000"/>
                <w:kern w:val="0"/>
                <w:sz w:val="24"/>
                <w:szCs w:val="24"/>
              </w:rPr>
            </w:pPr>
          </w:p>
        </w:tc>
        <w:tc>
          <w:tcPr>
            <w:tcW w:w="1682" w:type="dxa"/>
            <w:gridSpan w:val="6"/>
            <w:tcBorders>
              <w:bottom w:val="single" w:color="auto" w:sz="18" w:space="0"/>
            </w:tcBorders>
            <w:vAlign w:val="center"/>
          </w:tcPr>
          <w:p>
            <w:pPr>
              <w:widowControl/>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出租单位全称</w:t>
            </w:r>
          </w:p>
        </w:tc>
        <w:tc>
          <w:tcPr>
            <w:tcW w:w="1865" w:type="dxa"/>
            <w:gridSpan w:val="6"/>
            <w:tcBorders>
              <w:bottom w:val="single" w:color="auto" w:sz="18" w:space="0"/>
            </w:tcBorders>
            <w:vAlign w:val="center"/>
          </w:tcPr>
          <w:p>
            <w:pPr>
              <w:widowControl/>
              <w:snapToGrid w:val="0"/>
              <w:rPr>
                <w:rFonts w:ascii="仿宋" w:hAnsi="仿宋" w:eastAsia="仿宋" w:cs="仿宋"/>
                <w:color w:val="000000"/>
                <w:kern w:val="0"/>
                <w:sz w:val="24"/>
                <w:szCs w:val="24"/>
              </w:rPr>
            </w:pPr>
          </w:p>
        </w:tc>
        <w:tc>
          <w:tcPr>
            <w:tcW w:w="1740" w:type="dxa"/>
            <w:gridSpan w:val="5"/>
            <w:tcBorders>
              <w:bottom w:val="single" w:color="auto" w:sz="18" w:space="0"/>
            </w:tcBorders>
            <w:vAlign w:val="center"/>
          </w:tcPr>
          <w:p>
            <w:pPr>
              <w:widowControl/>
              <w:snapToGrid w:val="0"/>
              <w:rPr>
                <w:rFonts w:ascii="仿宋" w:hAnsi="仿宋" w:eastAsia="仿宋" w:cs="仿宋"/>
                <w:color w:val="000000"/>
                <w:kern w:val="0"/>
                <w:sz w:val="24"/>
                <w:szCs w:val="24"/>
              </w:rPr>
            </w:pPr>
            <w:r>
              <w:rPr>
                <w:rFonts w:hint="eastAsia" w:ascii="仿宋" w:hAnsi="仿宋" w:eastAsia="仿宋" w:cs="仿宋"/>
                <w:color w:val="000000"/>
                <w:kern w:val="0"/>
                <w:sz w:val="24"/>
                <w:szCs w:val="24"/>
              </w:rPr>
              <w:t>出租单位统一社会信用代码</w:t>
            </w:r>
          </w:p>
        </w:tc>
        <w:tc>
          <w:tcPr>
            <w:tcW w:w="2693" w:type="dxa"/>
            <w:gridSpan w:val="4"/>
            <w:tcBorders>
              <w:bottom w:val="single" w:color="auto" w:sz="18" w:space="0"/>
              <w:right w:val="single" w:color="auto" w:sz="18" w:space="0"/>
            </w:tcBorders>
          </w:tcPr>
          <w:p>
            <w:pPr>
              <w:widowControl/>
              <w:snapToGrid w:val="0"/>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306" w:type="dxa"/>
            <w:vMerge w:val="restart"/>
            <w:tcBorders>
              <w:top w:val="single" w:color="auto" w:sz="18" w:space="0"/>
              <w:left w:val="single" w:color="auto" w:sz="18" w:space="0"/>
              <w:right w:val="single" w:color="auto" w:sz="4" w:space="0"/>
            </w:tcBorders>
            <w:vAlign w:val="center"/>
          </w:tcPr>
          <w:p>
            <w:pPr>
              <w:widowControl/>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地块现状</w:t>
            </w:r>
          </w:p>
        </w:tc>
        <w:tc>
          <w:tcPr>
            <w:tcW w:w="1567" w:type="dxa"/>
            <w:gridSpan w:val="3"/>
            <w:tcBorders>
              <w:top w:val="single" w:color="auto" w:sz="18" w:space="0"/>
              <w:left w:val="single" w:color="auto" w:sz="4" w:space="0"/>
              <w:right w:val="single" w:color="auto" w:sz="4" w:space="0"/>
            </w:tcBorders>
            <w:vAlign w:val="center"/>
          </w:tcPr>
          <w:p>
            <w:pPr>
              <w:snapToGrid w:val="0"/>
              <w:jc w:val="center"/>
              <w:rPr>
                <w:rFonts w:ascii="宋体" w:hAnsi="宋体" w:cs="宋体"/>
                <w:color w:val="000000"/>
                <w:kern w:val="0"/>
                <w:sz w:val="24"/>
                <w:szCs w:val="24"/>
              </w:rPr>
            </w:pP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自用</w:t>
            </w:r>
          </w:p>
        </w:tc>
        <w:tc>
          <w:tcPr>
            <w:tcW w:w="1755" w:type="dxa"/>
            <w:gridSpan w:val="2"/>
            <w:tcBorders>
              <w:top w:val="single" w:color="auto" w:sz="18" w:space="0"/>
              <w:left w:val="single" w:color="auto" w:sz="4" w:space="0"/>
              <w:right w:val="single" w:color="auto" w:sz="4" w:space="0"/>
            </w:tcBorders>
            <w:vAlign w:val="center"/>
          </w:tcPr>
          <w:p>
            <w:pPr>
              <w:kinsoku w:val="0"/>
              <w:overflowPunct w:val="0"/>
              <w:adjustRightInd w:val="0"/>
              <w:snapToGrid w:val="0"/>
              <w:jc w:val="center"/>
              <w:rPr>
                <w:rFonts w:ascii="宋体" w:hAnsi="宋体" w:cs="宋体"/>
                <w:color w:val="000000"/>
                <w:kern w:val="0"/>
                <w:sz w:val="24"/>
                <w:szCs w:val="24"/>
              </w:rPr>
            </w:pPr>
            <w:r>
              <w:rPr>
                <w:rFonts w:hint="eastAsia" w:ascii="仿宋" w:hAnsi="仿宋" w:eastAsia="仿宋" w:cs="仿宋"/>
                <w:color w:val="000000"/>
                <w:kern w:val="0"/>
                <w:sz w:val="24"/>
                <w:szCs w:val="24"/>
              </w:rPr>
              <w:t>自用面积</w:t>
            </w:r>
          </w:p>
        </w:tc>
        <w:tc>
          <w:tcPr>
            <w:tcW w:w="8648" w:type="dxa"/>
            <w:gridSpan w:val="23"/>
            <w:tcBorders>
              <w:top w:val="single" w:color="auto" w:sz="18" w:space="0"/>
              <w:left w:val="single" w:color="auto" w:sz="4" w:space="0"/>
              <w:right w:val="single" w:color="auto" w:sz="18" w:space="0"/>
            </w:tcBorders>
            <w:vAlign w:val="center"/>
          </w:tcPr>
          <w:p>
            <w:pPr>
              <w:kinsoku w:val="0"/>
              <w:overflowPunct w:val="0"/>
              <w:adjustRightInd w:val="0"/>
              <w:snapToGrid w:val="0"/>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306" w:type="dxa"/>
            <w:vMerge w:val="continue"/>
            <w:tcBorders>
              <w:left w:val="single" w:color="auto" w:sz="18" w:space="0"/>
              <w:right w:val="single" w:color="auto" w:sz="4" w:space="0"/>
            </w:tcBorders>
            <w:vAlign w:val="center"/>
          </w:tcPr>
          <w:p>
            <w:pPr>
              <w:widowControl/>
              <w:snapToGrid w:val="0"/>
              <w:jc w:val="center"/>
              <w:rPr>
                <w:rFonts w:ascii="仿宋" w:hAnsi="仿宋" w:eastAsia="仿宋" w:cs="仿宋"/>
                <w:color w:val="000000"/>
                <w:kern w:val="0"/>
                <w:sz w:val="24"/>
                <w:szCs w:val="24"/>
              </w:rPr>
            </w:pPr>
          </w:p>
        </w:tc>
        <w:tc>
          <w:tcPr>
            <w:tcW w:w="1567" w:type="dxa"/>
            <w:gridSpan w:val="3"/>
            <w:tcBorders>
              <w:left w:val="single" w:color="auto" w:sz="4" w:space="0"/>
              <w:right w:val="single" w:color="auto" w:sz="4" w:space="0"/>
            </w:tcBorders>
            <w:vAlign w:val="center"/>
          </w:tcPr>
          <w:p>
            <w:pPr>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闲置</w:t>
            </w:r>
          </w:p>
        </w:tc>
        <w:tc>
          <w:tcPr>
            <w:tcW w:w="1755" w:type="dxa"/>
            <w:gridSpan w:val="2"/>
            <w:tcBorders>
              <w:left w:val="single" w:color="auto" w:sz="4" w:space="0"/>
              <w:right w:val="single" w:color="auto" w:sz="4" w:space="0"/>
            </w:tcBorders>
            <w:vAlign w:val="center"/>
          </w:tcPr>
          <w:p>
            <w:pPr>
              <w:kinsoku w:val="0"/>
              <w:overflowPunct w:val="0"/>
              <w:adjustRightInd w:val="0"/>
              <w:snapToGrid w:val="0"/>
              <w:jc w:val="center"/>
              <w:rPr>
                <w:rFonts w:ascii="宋体" w:hAnsi="宋体" w:cs="宋体"/>
                <w:color w:val="000000"/>
                <w:kern w:val="0"/>
                <w:sz w:val="24"/>
                <w:szCs w:val="24"/>
              </w:rPr>
            </w:pPr>
            <w:r>
              <w:rPr>
                <w:rFonts w:hint="eastAsia" w:ascii="仿宋" w:hAnsi="仿宋" w:eastAsia="仿宋" w:cs="仿宋"/>
                <w:color w:val="000000"/>
                <w:kern w:val="0"/>
                <w:sz w:val="24"/>
                <w:szCs w:val="24"/>
              </w:rPr>
              <w:t>闲置面积</w:t>
            </w:r>
          </w:p>
        </w:tc>
        <w:tc>
          <w:tcPr>
            <w:tcW w:w="1665" w:type="dxa"/>
            <w:gridSpan w:val="6"/>
            <w:tcBorders>
              <w:left w:val="single" w:color="auto" w:sz="4" w:space="0"/>
              <w:right w:val="single" w:color="auto" w:sz="4" w:space="0"/>
            </w:tcBorders>
            <w:vAlign w:val="center"/>
          </w:tcPr>
          <w:p>
            <w:pPr>
              <w:kinsoku w:val="0"/>
              <w:overflowPunct w:val="0"/>
              <w:adjustRightInd w:val="0"/>
              <w:snapToGrid w:val="0"/>
              <w:jc w:val="center"/>
              <w:rPr>
                <w:rFonts w:ascii="宋体" w:hAnsi="宋体" w:cs="宋体"/>
                <w:color w:val="000000"/>
                <w:kern w:val="0"/>
                <w:sz w:val="24"/>
                <w:szCs w:val="24"/>
              </w:rPr>
            </w:pPr>
          </w:p>
        </w:tc>
        <w:tc>
          <w:tcPr>
            <w:tcW w:w="2235" w:type="dxa"/>
            <w:gridSpan w:val="6"/>
            <w:tcBorders>
              <w:left w:val="single" w:color="auto" w:sz="4" w:space="0"/>
              <w:right w:val="single" w:color="auto" w:sz="4" w:space="0"/>
            </w:tcBorders>
            <w:vAlign w:val="center"/>
          </w:tcPr>
          <w:p>
            <w:pPr>
              <w:kinsoku w:val="0"/>
              <w:overflowPunct w:val="0"/>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闲置原因</w:t>
            </w:r>
          </w:p>
        </w:tc>
        <w:tc>
          <w:tcPr>
            <w:tcW w:w="4748" w:type="dxa"/>
            <w:gridSpan w:val="11"/>
            <w:tcBorders>
              <w:left w:val="single" w:color="auto" w:sz="4" w:space="0"/>
              <w:right w:val="single" w:color="auto" w:sz="18" w:space="0"/>
            </w:tcBorders>
            <w:vAlign w:val="center"/>
          </w:tcPr>
          <w:p>
            <w:pPr>
              <w:kinsoku w:val="0"/>
              <w:overflowPunct w:val="0"/>
              <w:adjustRightInd w:val="0"/>
              <w:snapToGrid w:val="0"/>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1306" w:type="dxa"/>
            <w:vMerge w:val="continue"/>
            <w:tcBorders>
              <w:left w:val="single" w:color="auto" w:sz="18" w:space="0"/>
              <w:right w:val="single" w:color="auto" w:sz="4" w:space="0"/>
            </w:tcBorders>
          </w:tcPr>
          <w:p>
            <w:pPr>
              <w:widowControl/>
              <w:snapToGrid w:val="0"/>
            </w:pPr>
          </w:p>
        </w:tc>
        <w:tc>
          <w:tcPr>
            <w:tcW w:w="1567" w:type="dxa"/>
            <w:gridSpan w:val="3"/>
            <w:tcBorders>
              <w:left w:val="single" w:color="auto" w:sz="4" w:space="0"/>
              <w:right w:val="single" w:color="auto" w:sz="4" w:space="0"/>
            </w:tcBorders>
            <w:vAlign w:val="center"/>
          </w:tcPr>
          <w:p>
            <w:pPr>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出租</w:t>
            </w:r>
          </w:p>
        </w:tc>
        <w:tc>
          <w:tcPr>
            <w:tcW w:w="1755" w:type="dxa"/>
            <w:gridSpan w:val="2"/>
            <w:tcBorders>
              <w:left w:val="single" w:color="auto" w:sz="4" w:space="0"/>
              <w:right w:val="single" w:color="auto" w:sz="4" w:space="0"/>
            </w:tcBorders>
            <w:vAlign w:val="center"/>
          </w:tcPr>
          <w:p>
            <w:pPr>
              <w:kinsoku w:val="0"/>
              <w:overflowPunct w:val="0"/>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租赁企业全称</w:t>
            </w:r>
          </w:p>
        </w:tc>
        <w:tc>
          <w:tcPr>
            <w:tcW w:w="1665" w:type="dxa"/>
            <w:gridSpan w:val="6"/>
            <w:tcBorders>
              <w:left w:val="single" w:color="auto" w:sz="4" w:space="0"/>
              <w:right w:val="single" w:color="auto" w:sz="4" w:space="0"/>
            </w:tcBorders>
            <w:vAlign w:val="center"/>
          </w:tcPr>
          <w:p>
            <w:pPr>
              <w:kinsoku w:val="0"/>
              <w:overflowPunct w:val="0"/>
              <w:adjustRightInd w:val="0"/>
              <w:snapToGrid w:val="0"/>
              <w:jc w:val="center"/>
              <w:rPr>
                <w:rFonts w:ascii="宋体" w:hAnsi="宋体" w:cs="宋体"/>
                <w:color w:val="000000"/>
                <w:kern w:val="0"/>
                <w:sz w:val="24"/>
                <w:szCs w:val="24"/>
              </w:rPr>
            </w:pPr>
          </w:p>
        </w:tc>
        <w:tc>
          <w:tcPr>
            <w:tcW w:w="2235" w:type="dxa"/>
            <w:gridSpan w:val="6"/>
            <w:tcBorders>
              <w:left w:val="single" w:color="auto" w:sz="4" w:space="0"/>
              <w:right w:val="single" w:color="auto" w:sz="4" w:space="0"/>
            </w:tcBorders>
            <w:vAlign w:val="center"/>
          </w:tcPr>
          <w:p>
            <w:pPr>
              <w:kinsoku w:val="0"/>
              <w:overflowPunct w:val="0"/>
              <w:adjustRightInd w:val="0"/>
              <w:snapToGrid w:val="0"/>
              <w:jc w:val="center"/>
              <w:rPr>
                <w:rFonts w:ascii="宋体" w:hAnsi="宋体" w:cs="宋体"/>
                <w:color w:val="000000"/>
                <w:kern w:val="0"/>
                <w:sz w:val="24"/>
                <w:szCs w:val="24"/>
              </w:rPr>
            </w:pPr>
            <w:r>
              <w:rPr>
                <w:rFonts w:hint="eastAsia" w:ascii="仿宋" w:hAnsi="仿宋" w:eastAsia="仿宋" w:cs="仿宋"/>
                <w:color w:val="000000"/>
                <w:kern w:val="0"/>
                <w:sz w:val="24"/>
                <w:szCs w:val="24"/>
              </w:rPr>
              <w:t>统一社会信用代码</w:t>
            </w:r>
          </w:p>
        </w:tc>
        <w:tc>
          <w:tcPr>
            <w:tcW w:w="1740" w:type="dxa"/>
            <w:gridSpan w:val="5"/>
            <w:tcBorders>
              <w:left w:val="single" w:color="auto" w:sz="4" w:space="0"/>
              <w:right w:val="single" w:color="auto" w:sz="4" w:space="0"/>
            </w:tcBorders>
            <w:vAlign w:val="center"/>
          </w:tcPr>
          <w:p>
            <w:pPr>
              <w:kinsoku w:val="0"/>
              <w:overflowPunct w:val="0"/>
              <w:adjustRightInd w:val="0"/>
              <w:snapToGrid w:val="0"/>
              <w:jc w:val="center"/>
              <w:rPr>
                <w:rFonts w:ascii="宋体" w:hAnsi="宋体" w:cs="宋体"/>
                <w:color w:val="000000"/>
                <w:kern w:val="0"/>
                <w:sz w:val="24"/>
                <w:szCs w:val="24"/>
              </w:rPr>
            </w:pPr>
          </w:p>
        </w:tc>
        <w:tc>
          <w:tcPr>
            <w:tcW w:w="1510" w:type="dxa"/>
            <w:gridSpan w:val="5"/>
            <w:tcBorders>
              <w:left w:val="single" w:color="auto" w:sz="4" w:space="0"/>
              <w:right w:val="single" w:color="auto" w:sz="4" w:space="0"/>
            </w:tcBorders>
            <w:vAlign w:val="center"/>
          </w:tcPr>
          <w:p>
            <w:pPr>
              <w:kinsoku w:val="0"/>
              <w:overflowPunct w:val="0"/>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出租面积</w:t>
            </w:r>
          </w:p>
        </w:tc>
        <w:tc>
          <w:tcPr>
            <w:tcW w:w="1498" w:type="dxa"/>
            <w:tcBorders>
              <w:left w:val="single" w:color="auto" w:sz="4" w:space="0"/>
              <w:right w:val="single" w:color="auto" w:sz="18" w:space="0"/>
            </w:tcBorders>
            <w:vAlign w:val="center"/>
          </w:tcPr>
          <w:p>
            <w:pPr>
              <w:kinsoku w:val="0"/>
              <w:overflowPunct w:val="0"/>
              <w:adjustRightInd w:val="0"/>
              <w:snapToGrid w:val="0"/>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1306" w:type="dxa"/>
            <w:vMerge w:val="continue"/>
            <w:tcBorders>
              <w:left w:val="single" w:color="auto" w:sz="18" w:space="0"/>
              <w:bottom w:val="single" w:color="auto" w:sz="18" w:space="0"/>
              <w:right w:val="single" w:color="auto" w:sz="4" w:space="0"/>
            </w:tcBorders>
          </w:tcPr>
          <w:p>
            <w:pPr>
              <w:widowControl/>
              <w:snapToGrid w:val="0"/>
              <w:rPr>
                <w:rFonts w:ascii="宋体" w:hAnsi="宋体" w:cs="宋体"/>
                <w:color w:val="000000"/>
                <w:kern w:val="0"/>
                <w:sz w:val="24"/>
                <w:szCs w:val="24"/>
              </w:rPr>
            </w:pPr>
          </w:p>
        </w:tc>
        <w:tc>
          <w:tcPr>
            <w:tcW w:w="1567" w:type="dxa"/>
            <w:gridSpan w:val="3"/>
            <w:tcBorders>
              <w:left w:val="single" w:color="auto" w:sz="4" w:space="0"/>
              <w:bottom w:val="single" w:color="auto" w:sz="18" w:space="0"/>
              <w:right w:val="single" w:color="auto" w:sz="4" w:space="0"/>
            </w:tcBorders>
            <w:vAlign w:val="center"/>
          </w:tcPr>
          <w:p>
            <w:pPr>
              <w:widowControl/>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其他____</w:t>
            </w:r>
          </w:p>
        </w:tc>
        <w:tc>
          <w:tcPr>
            <w:tcW w:w="1755" w:type="dxa"/>
            <w:gridSpan w:val="2"/>
            <w:tcBorders>
              <w:left w:val="single" w:color="auto" w:sz="4" w:space="0"/>
              <w:bottom w:val="single" w:color="auto" w:sz="18" w:space="0"/>
              <w:right w:val="single" w:color="auto" w:sz="4" w:space="0"/>
            </w:tcBorders>
            <w:vAlign w:val="center"/>
          </w:tcPr>
          <w:p>
            <w:pPr>
              <w:kinsoku w:val="0"/>
              <w:overflowPunct w:val="0"/>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相关单位全称</w:t>
            </w:r>
          </w:p>
        </w:tc>
        <w:tc>
          <w:tcPr>
            <w:tcW w:w="1665" w:type="dxa"/>
            <w:gridSpan w:val="6"/>
            <w:tcBorders>
              <w:left w:val="single" w:color="auto" w:sz="4" w:space="0"/>
              <w:bottom w:val="single" w:color="auto" w:sz="18" w:space="0"/>
              <w:right w:val="single" w:color="auto" w:sz="4" w:space="0"/>
            </w:tcBorders>
            <w:vAlign w:val="center"/>
          </w:tcPr>
          <w:p>
            <w:pPr>
              <w:kinsoku w:val="0"/>
              <w:overflowPunct w:val="0"/>
              <w:adjustRightInd w:val="0"/>
              <w:snapToGrid w:val="0"/>
              <w:jc w:val="center"/>
              <w:rPr>
                <w:rFonts w:ascii="仿宋" w:hAnsi="仿宋" w:eastAsia="仿宋" w:cs="仿宋"/>
                <w:color w:val="000000"/>
                <w:kern w:val="0"/>
                <w:sz w:val="24"/>
                <w:szCs w:val="24"/>
              </w:rPr>
            </w:pPr>
          </w:p>
        </w:tc>
        <w:tc>
          <w:tcPr>
            <w:tcW w:w="2235" w:type="dxa"/>
            <w:gridSpan w:val="6"/>
            <w:tcBorders>
              <w:left w:val="single" w:color="auto" w:sz="4" w:space="0"/>
              <w:bottom w:val="single" w:color="auto" w:sz="18" w:space="0"/>
              <w:right w:val="single" w:color="auto" w:sz="4" w:space="0"/>
            </w:tcBorders>
            <w:vAlign w:val="center"/>
          </w:tcPr>
          <w:p>
            <w:pPr>
              <w:kinsoku w:val="0"/>
              <w:overflowPunct w:val="0"/>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统一社会信用代码</w:t>
            </w:r>
          </w:p>
        </w:tc>
        <w:tc>
          <w:tcPr>
            <w:tcW w:w="1740" w:type="dxa"/>
            <w:gridSpan w:val="5"/>
            <w:tcBorders>
              <w:left w:val="single" w:color="auto" w:sz="4" w:space="0"/>
              <w:bottom w:val="single" w:color="auto" w:sz="18" w:space="0"/>
              <w:right w:val="single" w:color="auto" w:sz="4" w:space="0"/>
            </w:tcBorders>
            <w:vAlign w:val="center"/>
          </w:tcPr>
          <w:p>
            <w:pPr>
              <w:kinsoku w:val="0"/>
              <w:overflowPunct w:val="0"/>
              <w:adjustRightInd w:val="0"/>
              <w:snapToGrid w:val="0"/>
              <w:jc w:val="center"/>
              <w:rPr>
                <w:rFonts w:ascii="仿宋" w:hAnsi="仿宋" w:eastAsia="仿宋" w:cs="仿宋"/>
                <w:color w:val="000000"/>
                <w:kern w:val="0"/>
                <w:sz w:val="24"/>
                <w:szCs w:val="24"/>
              </w:rPr>
            </w:pPr>
          </w:p>
        </w:tc>
        <w:tc>
          <w:tcPr>
            <w:tcW w:w="1510" w:type="dxa"/>
            <w:gridSpan w:val="5"/>
            <w:tcBorders>
              <w:left w:val="single" w:color="auto" w:sz="4" w:space="0"/>
              <w:bottom w:val="single" w:color="auto" w:sz="18" w:space="0"/>
              <w:right w:val="single" w:color="auto" w:sz="4" w:space="0"/>
            </w:tcBorders>
            <w:vAlign w:val="center"/>
          </w:tcPr>
          <w:p>
            <w:pPr>
              <w:kinsoku w:val="0"/>
              <w:overflowPunct w:val="0"/>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相关面积</w:t>
            </w:r>
          </w:p>
        </w:tc>
        <w:tc>
          <w:tcPr>
            <w:tcW w:w="1498" w:type="dxa"/>
            <w:tcBorders>
              <w:left w:val="single" w:color="auto" w:sz="4" w:space="0"/>
              <w:bottom w:val="single" w:color="auto" w:sz="18" w:space="0"/>
              <w:right w:val="single" w:color="auto" w:sz="18" w:space="0"/>
            </w:tcBorders>
            <w:vAlign w:val="center"/>
          </w:tcPr>
          <w:p>
            <w:pPr>
              <w:kinsoku w:val="0"/>
              <w:overflowPunct w:val="0"/>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9" w:hRule="atLeast"/>
          <w:jc w:val="center"/>
        </w:trPr>
        <w:tc>
          <w:tcPr>
            <w:tcW w:w="1306" w:type="dxa"/>
            <w:tcBorders>
              <w:top w:val="single" w:color="auto" w:sz="18" w:space="0"/>
              <w:left w:val="single" w:color="auto" w:sz="18" w:space="0"/>
            </w:tcBorders>
            <w:vAlign w:val="center"/>
          </w:tcPr>
          <w:p>
            <w:pPr>
              <w:widowControl/>
              <w:spacing w:after="158" w:afterLines="50" w:line="58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企业低效原因</w:t>
            </w:r>
          </w:p>
        </w:tc>
        <w:tc>
          <w:tcPr>
            <w:tcW w:w="11970" w:type="dxa"/>
            <w:gridSpan w:val="28"/>
            <w:tcBorders>
              <w:top w:val="single" w:color="auto" w:sz="18" w:space="0"/>
              <w:right w:val="single" w:color="auto" w:sz="18" w:space="0"/>
            </w:tcBorders>
            <w:vAlign w:val="center"/>
          </w:tcPr>
          <w:p>
            <w:pPr>
              <w:widowControl/>
              <w:spacing w:after="158" w:afterLines="50" w:line="580" w:lineRule="exact"/>
              <w:jc w:val="lef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1306" w:type="dxa"/>
            <w:tcBorders>
              <w:left w:val="single" w:color="auto" w:sz="18" w:space="0"/>
            </w:tcBorders>
            <w:vAlign w:val="center"/>
          </w:tcPr>
          <w:p>
            <w:pPr>
              <w:widowControl/>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低效企业类型</w:t>
            </w:r>
          </w:p>
        </w:tc>
        <w:tc>
          <w:tcPr>
            <w:tcW w:w="11970" w:type="dxa"/>
            <w:gridSpan w:val="28"/>
            <w:tcBorders>
              <w:right w:val="single" w:color="auto" w:sz="18" w:space="0"/>
            </w:tcBorders>
          </w:tcPr>
          <w:p>
            <w:pPr>
              <w:widowControl/>
              <w:snapToGrid w:val="0"/>
              <w:spacing w:line="52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 xml:space="preserve">税费规范类  </w:t>
            </w: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 xml:space="preserve">违法经营类  </w:t>
            </w: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 xml:space="preserve">环境污染类  </w:t>
            </w: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 xml:space="preserve">安全隐患类  </w:t>
            </w: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 xml:space="preserve">违章建筑类  </w:t>
            </w: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 xml:space="preserve">散乱布局类   </w:t>
            </w: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 xml:space="preserve">产能淘汰类 </w:t>
            </w:r>
          </w:p>
          <w:p>
            <w:pPr>
              <w:widowControl/>
              <w:snapToGrid w:val="0"/>
              <w:spacing w:line="52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 xml:space="preserve">违法用地类  </w:t>
            </w: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 xml:space="preserve">低效用地类  </w:t>
            </w: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 xml:space="preserve">僵尸企业类   </w:t>
            </w: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其他低效类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306" w:type="dxa"/>
            <w:tcBorders>
              <w:left w:val="single" w:color="auto" w:sz="18" w:space="0"/>
            </w:tcBorders>
            <w:vAlign w:val="center"/>
          </w:tcPr>
          <w:p>
            <w:pPr>
              <w:widowControl/>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低效企业</w:t>
            </w:r>
          </w:p>
          <w:p>
            <w:pPr>
              <w:widowControl/>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分类依据</w:t>
            </w:r>
          </w:p>
        </w:tc>
        <w:tc>
          <w:tcPr>
            <w:tcW w:w="11970" w:type="dxa"/>
            <w:gridSpan w:val="28"/>
            <w:tcBorders>
              <w:right w:val="single" w:color="auto" w:sz="18" w:space="0"/>
            </w:tcBorders>
            <w:vAlign w:val="center"/>
          </w:tcPr>
          <w:p>
            <w:pPr>
              <w:widowControl/>
              <w:snapToGrid w:val="0"/>
              <w:spacing w:line="52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9" w:hRule="atLeast"/>
          <w:jc w:val="center"/>
        </w:trPr>
        <w:tc>
          <w:tcPr>
            <w:tcW w:w="1306" w:type="dxa"/>
            <w:tcBorders>
              <w:left w:val="single" w:color="auto" w:sz="18" w:space="0"/>
            </w:tcBorders>
            <w:vAlign w:val="center"/>
          </w:tcPr>
          <w:p>
            <w:pPr>
              <w:widowControl/>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企业下一步计划</w:t>
            </w:r>
          </w:p>
        </w:tc>
        <w:tc>
          <w:tcPr>
            <w:tcW w:w="11970" w:type="dxa"/>
            <w:gridSpan w:val="28"/>
            <w:tcBorders>
              <w:right w:val="single" w:color="auto" w:sz="18" w:space="0"/>
            </w:tcBorders>
          </w:tcPr>
          <w:p>
            <w:pPr>
              <w:widowControl/>
              <w:snapToGrid w:val="0"/>
              <w:spacing w:line="520" w:lineRule="exact"/>
              <w:rPr>
                <w:rFonts w:ascii="仿宋" w:hAnsi="仿宋" w:eastAsia="仿宋" w:cs="仿宋"/>
                <w:color w:val="000000"/>
                <w:kern w:val="0"/>
                <w:sz w:val="24"/>
                <w:szCs w:val="24"/>
              </w:rPr>
            </w:pPr>
          </w:p>
          <w:p>
            <w:pPr>
              <w:widowControl/>
              <w:snapToGrid w:val="0"/>
              <w:spacing w:line="520" w:lineRule="exact"/>
              <w:rPr>
                <w:rFonts w:ascii="仿宋" w:hAnsi="仿宋" w:eastAsia="仿宋" w:cs="仿宋"/>
                <w:color w:val="000000"/>
                <w:kern w:val="0"/>
                <w:sz w:val="24"/>
                <w:szCs w:val="24"/>
              </w:rPr>
            </w:pPr>
          </w:p>
          <w:p>
            <w:pPr>
              <w:widowControl/>
              <w:snapToGrid w:val="0"/>
              <w:spacing w:line="52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      </w:t>
            </w:r>
          </w:p>
          <w:p>
            <w:pPr>
              <w:widowControl/>
              <w:snapToGrid w:val="0"/>
              <w:spacing w:line="52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                      </w:t>
            </w:r>
          </w:p>
          <w:p>
            <w:pPr>
              <w:widowControl/>
              <w:snapToGrid w:val="0"/>
              <w:spacing w:line="520" w:lineRule="exact"/>
              <w:ind w:firstLine="6240" w:firstLineChars="2600"/>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 企业负责人（签字）：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2819" w:type="dxa"/>
            <w:gridSpan w:val="3"/>
            <w:tcBorders>
              <w:left w:val="single" w:color="auto" w:sz="18" w:space="0"/>
            </w:tcBorders>
            <w:vAlign w:val="center"/>
          </w:tcPr>
          <w:p>
            <w:pPr>
              <w:snapToGrid w:val="0"/>
              <w:rPr>
                <w:rFonts w:ascii="仿宋" w:hAnsi="仿宋" w:eastAsia="仿宋" w:cs="仿宋"/>
                <w:color w:val="000000"/>
                <w:kern w:val="0"/>
                <w:sz w:val="24"/>
                <w:szCs w:val="24"/>
              </w:rPr>
            </w:pPr>
            <w:r>
              <w:rPr>
                <w:rFonts w:hint="eastAsia" w:ascii="仿宋" w:hAnsi="仿宋" w:eastAsia="仿宋" w:cs="仿宋"/>
                <w:color w:val="000000"/>
                <w:kern w:val="0"/>
                <w:sz w:val="24"/>
                <w:szCs w:val="24"/>
              </w:rPr>
              <w:t>企业是否愿意入园发展：</w:t>
            </w:r>
          </w:p>
        </w:tc>
        <w:tc>
          <w:tcPr>
            <w:tcW w:w="3287" w:type="dxa"/>
            <w:gridSpan w:val="7"/>
            <w:vAlign w:val="center"/>
          </w:tcPr>
          <w:p>
            <w:pPr>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 xml:space="preserve">是  </w:t>
            </w: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否</w:t>
            </w:r>
          </w:p>
        </w:tc>
        <w:tc>
          <w:tcPr>
            <w:tcW w:w="3727" w:type="dxa"/>
            <w:gridSpan w:val="11"/>
            <w:vAlign w:val="center"/>
          </w:tcPr>
          <w:p>
            <w:pPr>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企业是否愿意兼并发展：</w:t>
            </w:r>
          </w:p>
        </w:tc>
        <w:tc>
          <w:tcPr>
            <w:tcW w:w="3443" w:type="dxa"/>
            <w:gridSpan w:val="8"/>
            <w:tcBorders>
              <w:right w:val="single" w:color="auto" w:sz="18" w:space="0"/>
            </w:tcBorders>
          </w:tcPr>
          <w:p>
            <w:pPr>
              <w:widowControl/>
              <w:spacing w:after="158" w:afterLines="50" w:line="58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 xml:space="preserve">是   </w:t>
            </w:r>
            <w:r>
              <w:rPr>
                <w:rFonts w:hint="eastAsia" w:ascii="仿宋" w:hAnsi="仿宋" w:eastAsia="仿宋" w:cs="仿宋"/>
                <w:color w:val="000000"/>
                <w:kern w:val="0"/>
                <w:sz w:val="24"/>
                <w:szCs w:val="24"/>
              </w:rPr>
              <w:sym w:font="Wingdings 2" w:char="00A3"/>
            </w:r>
            <w:r>
              <w:rPr>
                <w:rFonts w:hint="eastAsia" w:ascii="仿宋" w:hAnsi="仿宋" w:eastAsia="仿宋" w:cs="仿宋"/>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819" w:type="dxa"/>
            <w:gridSpan w:val="3"/>
            <w:tcBorders>
              <w:left w:val="single" w:color="auto" w:sz="18" w:space="0"/>
              <w:bottom w:val="single" w:color="auto" w:sz="18" w:space="0"/>
            </w:tcBorders>
            <w:vAlign w:val="center"/>
          </w:tcPr>
          <w:p>
            <w:pPr>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在下一步整治提升</w:t>
            </w:r>
          </w:p>
          <w:p>
            <w:pPr>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中要参与的主要部门</w:t>
            </w:r>
          </w:p>
          <w:p>
            <w:pPr>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（调查组提出）</w:t>
            </w:r>
          </w:p>
        </w:tc>
        <w:tc>
          <w:tcPr>
            <w:tcW w:w="1809" w:type="dxa"/>
            <w:gridSpan w:val="3"/>
            <w:tcBorders>
              <w:bottom w:val="single" w:color="auto" w:sz="18" w:space="0"/>
            </w:tcBorders>
            <w:vAlign w:val="center"/>
          </w:tcPr>
          <w:p>
            <w:pPr>
              <w:jc w:val="center"/>
              <w:rPr>
                <w:rFonts w:ascii="仿宋" w:hAnsi="仿宋" w:eastAsia="仿宋" w:cs="仿宋"/>
                <w:color w:val="000000"/>
                <w:kern w:val="0"/>
                <w:sz w:val="24"/>
                <w:szCs w:val="24"/>
              </w:rPr>
            </w:pPr>
          </w:p>
        </w:tc>
        <w:tc>
          <w:tcPr>
            <w:tcW w:w="1577" w:type="dxa"/>
            <w:gridSpan w:val="5"/>
            <w:tcBorders>
              <w:bottom w:val="single" w:color="auto" w:sz="18" w:space="0"/>
            </w:tcBorders>
            <w:vAlign w:val="center"/>
          </w:tcPr>
          <w:p>
            <w:pPr>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调查人员</w:t>
            </w:r>
          </w:p>
          <w:p>
            <w:pPr>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（签字）：</w:t>
            </w:r>
          </w:p>
        </w:tc>
        <w:tc>
          <w:tcPr>
            <w:tcW w:w="2357" w:type="dxa"/>
            <w:gridSpan w:val="8"/>
            <w:tcBorders>
              <w:bottom w:val="single" w:color="auto" w:sz="18" w:space="0"/>
              <w:right w:val="single" w:color="auto" w:sz="4" w:space="0"/>
            </w:tcBorders>
          </w:tcPr>
          <w:p>
            <w:pPr>
              <w:widowControl/>
              <w:spacing w:after="158" w:afterLines="50" w:line="580" w:lineRule="exact"/>
              <w:rPr>
                <w:rFonts w:ascii="仿宋" w:hAnsi="仿宋" w:eastAsia="仿宋" w:cs="仿宋"/>
                <w:color w:val="000000"/>
                <w:kern w:val="0"/>
                <w:sz w:val="24"/>
                <w:szCs w:val="24"/>
              </w:rPr>
            </w:pPr>
          </w:p>
        </w:tc>
        <w:tc>
          <w:tcPr>
            <w:tcW w:w="2357" w:type="dxa"/>
            <w:gridSpan w:val="7"/>
            <w:tcBorders>
              <w:left w:val="single" w:color="auto" w:sz="4" w:space="0"/>
              <w:bottom w:val="single" w:color="auto" w:sz="18" w:space="0"/>
              <w:right w:val="single" w:color="auto" w:sz="4" w:space="0"/>
            </w:tcBorders>
            <w:vAlign w:val="center"/>
          </w:tcPr>
          <w:p>
            <w:pPr>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分管领导</w:t>
            </w:r>
          </w:p>
          <w:p>
            <w:pPr>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（签字）：</w:t>
            </w:r>
          </w:p>
        </w:tc>
        <w:tc>
          <w:tcPr>
            <w:tcW w:w="2357" w:type="dxa"/>
            <w:gridSpan w:val="3"/>
            <w:tcBorders>
              <w:left w:val="single" w:color="auto" w:sz="4" w:space="0"/>
              <w:bottom w:val="single" w:color="auto" w:sz="18" w:space="0"/>
              <w:right w:val="single" w:color="auto" w:sz="18" w:space="0"/>
            </w:tcBorders>
          </w:tcPr>
          <w:p>
            <w:pPr>
              <w:jc w:val="center"/>
              <w:rPr>
                <w:rFonts w:ascii="仿宋" w:hAnsi="仿宋" w:eastAsia="仿宋" w:cs="仿宋"/>
                <w:color w:val="000000"/>
                <w:kern w:val="0"/>
                <w:sz w:val="24"/>
                <w:szCs w:val="24"/>
              </w:rPr>
            </w:pPr>
          </w:p>
        </w:tc>
      </w:tr>
    </w:tbl>
    <w:p>
      <w:pPr>
        <w:widowControl/>
        <w:ind w:left="630" w:leftChars="200" w:hanging="210" w:hangingChars="1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注：此表每家企业一张，盖企业章和当地政府章。</w:t>
      </w:r>
    </w:p>
    <w:p>
      <w:pPr>
        <w:widowControl/>
        <w:ind w:left="630" w:leftChars="200" w:hanging="210" w:hangingChars="100"/>
        <w:rPr>
          <w:rFonts w:ascii="仿宋_GB2312" w:hAnsi="宋体" w:eastAsia="仿宋_GB2312" w:cs="宋体"/>
          <w:color w:val="000000"/>
          <w:kern w:val="0"/>
          <w:szCs w:val="21"/>
        </w:rPr>
      </w:pPr>
    </w:p>
    <w:p>
      <w:pPr>
        <w:rPr>
          <w:rFonts w:ascii="仿宋_GB2312" w:hAnsi="宋体" w:eastAsia="仿宋_GB2312" w:cs="宋体"/>
          <w:color w:val="000000"/>
          <w:kern w:val="0"/>
          <w:szCs w:val="21"/>
        </w:rPr>
        <w:sectPr>
          <w:pgSz w:w="16838" w:h="11906" w:orient="landscape"/>
          <w:pgMar w:top="1179" w:right="1383" w:bottom="1179" w:left="1383" w:header="851" w:footer="992" w:gutter="0"/>
          <w:pgNumType w:fmt="numberInDash"/>
          <w:cols w:space="0" w:num="1"/>
          <w:docGrid w:type="linesAndChars" w:linePitch="317" w:charSpace="0"/>
        </w:sectPr>
      </w:pPr>
    </w:p>
    <w:p>
      <w:pPr>
        <w:widowControl/>
        <w:ind w:left="780" w:leftChars="200" w:hanging="360" w:hangingChars="100"/>
        <w:jc w:val="center"/>
        <w:rPr>
          <w:rFonts w:ascii="黑体" w:hAnsi="黑体" w:eastAsia="黑体" w:cs="黑体"/>
          <w:b/>
          <w:bCs/>
          <w:color w:val="000000"/>
          <w:kern w:val="0"/>
          <w:sz w:val="36"/>
          <w:szCs w:val="36"/>
        </w:rPr>
      </w:pPr>
      <w:r>
        <w:rPr>
          <w:rFonts w:hint="eastAsia" w:ascii="黑体" w:hAnsi="黑体" w:eastAsia="黑体" w:cs="黑体"/>
          <w:b/>
          <w:bCs/>
          <w:color w:val="000000"/>
          <w:kern w:val="0"/>
          <w:sz w:val="36"/>
          <w:szCs w:val="36"/>
        </w:rPr>
        <w:t>附件3填表说明</w:t>
      </w:r>
    </w:p>
    <w:p>
      <w:pPr>
        <w:widowControl/>
        <w:ind w:left="780" w:leftChars="200" w:hanging="360" w:hangingChars="100"/>
        <w:jc w:val="center"/>
        <w:rPr>
          <w:rFonts w:ascii="黑体" w:hAnsi="黑体" w:eastAsia="黑体" w:cs="黑体"/>
          <w:b/>
          <w:bCs/>
          <w:color w:val="000000"/>
          <w:kern w:val="0"/>
          <w:sz w:val="36"/>
          <w:szCs w:val="36"/>
        </w:rPr>
      </w:pPr>
    </w:p>
    <w:p>
      <w:pPr>
        <w:widowControl/>
        <w:numPr>
          <w:ilvl w:val="0"/>
          <w:numId w:val="1"/>
        </w:numPr>
        <w:ind w:left="740" w:leftChars="200" w:hanging="320" w:hangingChars="100"/>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企业现状：</w:t>
      </w:r>
      <w:r>
        <w:rPr>
          <w:rFonts w:hint="eastAsia" w:ascii="仿宋" w:hAnsi="仿宋" w:eastAsia="仿宋" w:cs="仿宋"/>
          <w:color w:val="000000"/>
          <w:kern w:val="0"/>
          <w:sz w:val="32"/>
          <w:szCs w:val="32"/>
        </w:rPr>
        <w:t>根据企业的现状选择“正常”、“停产”或“数据未反映在该企业”中的其中一种打“</w:t>
      </w:r>
      <w:r>
        <w:rPr>
          <w:rFonts w:ascii="Arial" w:hAnsi="Arial" w:eastAsia="仿宋" w:cs="Arial"/>
          <w:color w:val="000000"/>
          <w:kern w:val="0"/>
          <w:sz w:val="32"/>
          <w:szCs w:val="32"/>
        </w:rPr>
        <w:t>√</w:t>
      </w:r>
      <w:r>
        <w:rPr>
          <w:rFonts w:hint="eastAsia" w:ascii="仿宋" w:hAnsi="仿宋" w:eastAsia="仿宋" w:cs="仿宋"/>
          <w:color w:val="000000"/>
          <w:kern w:val="0"/>
          <w:sz w:val="32"/>
          <w:szCs w:val="32"/>
        </w:rPr>
        <w:t>”，若选择“数据未反映在该企业”，则需在右侧栏中选择相应的原因，并填写变更、关联、新设、受让或其他（需写明具体情况）等相关企业的全称和社会统一信用代码。</w:t>
      </w:r>
    </w:p>
    <w:p>
      <w:pPr>
        <w:widowControl/>
        <w:numPr>
          <w:ilvl w:val="0"/>
          <w:numId w:val="1"/>
        </w:numPr>
        <w:ind w:left="740" w:leftChars="200" w:hanging="320" w:hangingChars="100"/>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地块所有权情况：</w:t>
      </w:r>
      <w:r>
        <w:rPr>
          <w:rFonts w:hint="eastAsia" w:ascii="仿宋" w:hAnsi="仿宋" w:eastAsia="仿宋" w:cs="仿宋"/>
          <w:color w:val="000000"/>
          <w:kern w:val="0"/>
          <w:sz w:val="32"/>
          <w:szCs w:val="32"/>
        </w:rPr>
        <w:t>按调查情况，填写自有土地或租进土地的情况。</w:t>
      </w:r>
    </w:p>
    <w:p>
      <w:pPr>
        <w:widowControl/>
        <w:numPr>
          <w:ilvl w:val="0"/>
          <w:numId w:val="1"/>
        </w:numPr>
        <w:ind w:left="740" w:leftChars="200" w:hanging="320" w:hangingChars="100"/>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地块现状：</w:t>
      </w:r>
      <w:r>
        <w:rPr>
          <w:rFonts w:hint="eastAsia" w:ascii="仿宋" w:hAnsi="仿宋" w:eastAsia="仿宋" w:cs="仿宋"/>
          <w:color w:val="000000"/>
          <w:kern w:val="0"/>
          <w:sz w:val="32"/>
          <w:szCs w:val="32"/>
        </w:rPr>
        <w:t>根据实际情况选择“自用”、“闲置”、“出租”或“其他”，可多选；根据选择情况填写右侧相应栏。其中“其他”是指因政府项目被拆迁征用、法院拍卖、转卖等情况，需在“其他”选项后填写具体状态。</w:t>
      </w:r>
    </w:p>
    <w:p>
      <w:pPr>
        <w:widowControl/>
        <w:numPr>
          <w:ilvl w:val="0"/>
          <w:numId w:val="1"/>
        </w:numPr>
        <w:ind w:left="740" w:leftChars="200" w:hanging="320" w:hangingChars="100"/>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低效企业原因：</w:t>
      </w:r>
      <w:r>
        <w:rPr>
          <w:rFonts w:hint="eastAsia" w:ascii="仿宋" w:hAnsi="仿宋" w:eastAsia="仿宋" w:cs="仿宋"/>
          <w:color w:val="000000"/>
          <w:kern w:val="0"/>
          <w:sz w:val="32"/>
          <w:szCs w:val="32"/>
        </w:rPr>
        <w:t>对照亩均评价指标、低效企业分类类型和企业实际，填写低效原因。</w:t>
      </w:r>
    </w:p>
    <w:p>
      <w:pPr>
        <w:widowControl/>
        <w:numPr>
          <w:ilvl w:val="0"/>
          <w:numId w:val="1"/>
        </w:numPr>
        <w:ind w:left="740" w:leftChars="200" w:hanging="320" w:hangingChars="100"/>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低效企业类型：</w:t>
      </w:r>
      <w:r>
        <w:rPr>
          <w:rFonts w:hint="eastAsia" w:ascii="仿宋" w:hAnsi="仿宋" w:eastAsia="仿宋" w:cs="仿宋"/>
          <w:color w:val="000000"/>
          <w:kern w:val="0"/>
          <w:sz w:val="32"/>
          <w:szCs w:val="32"/>
        </w:rPr>
        <w:t>根据低效原因确定低效企业的分类类型，可多选。</w:t>
      </w:r>
    </w:p>
    <w:p>
      <w:pPr>
        <w:widowControl/>
        <w:numPr>
          <w:ilvl w:val="0"/>
          <w:numId w:val="1"/>
        </w:numPr>
        <w:ind w:left="740" w:leftChars="200" w:hanging="320" w:hangingChars="100"/>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低效企业分类依据：</w:t>
      </w:r>
      <w:r>
        <w:rPr>
          <w:rFonts w:hint="eastAsia" w:ascii="仿宋" w:hAnsi="仿宋" w:eastAsia="仿宋" w:cs="仿宋"/>
          <w:color w:val="000000"/>
          <w:kern w:val="0"/>
          <w:sz w:val="32"/>
          <w:szCs w:val="32"/>
        </w:rPr>
        <w:t>提供划分低效企业类型的依据。</w:t>
      </w:r>
    </w:p>
    <w:p>
      <w:pPr>
        <w:widowControl/>
        <w:numPr>
          <w:ilvl w:val="0"/>
          <w:numId w:val="1"/>
        </w:numPr>
        <w:ind w:left="740" w:leftChars="200" w:hanging="320" w:hangingChars="100"/>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在下一步整治提升中要参与的主要部门：</w:t>
      </w:r>
      <w:r>
        <w:rPr>
          <w:rFonts w:hint="eastAsia" w:ascii="仿宋" w:hAnsi="仿宋" w:eastAsia="仿宋" w:cs="仿宋"/>
          <w:color w:val="000000"/>
          <w:kern w:val="0"/>
          <w:sz w:val="32"/>
          <w:szCs w:val="32"/>
        </w:rPr>
        <w:t>根据低效企业分类类型，按照实施意见中的职责分工，提出相关牵头部门。</w:t>
      </w:r>
    </w:p>
    <w:p>
      <w:pPr>
        <w:widowControl/>
        <w:rPr>
          <w:rFonts w:ascii="仿宋" w:hAnsi="仿宋" w:eastAsia="仿宋" w:cs="仿宋"/>
          <w:color w:val="000000"/>
          <w:kern w:val="0"/>
          <w:sz w:val="32"/>
          <w:szCs w:val="32"/>
        </w:rPr>
      </w:pPr>
    </w:p>
    <w:p>
      <w:pPr>
        <w:rPr>
          <w:rFonts w:ascii="仿宋_GB2312" w:hAnsi="宋体" w:eastAsia="仿宋_GB2312" w:cs="宋体"/>
          <w:color w:val="000000"/>
          <w:kern w:val="0"/>
          <w:szCs w:val="21"/>
        </w:rPr>
      </w:pPr>
    </w:p>
    <w:sectPr>
      <w:pgSz w:w="11906" w:h="16838"/>
      <w:pgMar w:top="1383" w:right="1179" w:bottom="1383" w:left="1179" w:header="851" w:footer="992" w:gutter="0"/>
      <w:pgNumType w:fmt="numberInDash"/>
      <w:cols w:space="0" w:num="1"/>
      <w:docGrid w:type="linesAndChar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创艺简标宋">
    <w:altName w:val="方正舒体"/>
    <w:panose1 w:val="00000000000000000000"/>
    <w:charset w:val="86"/>
    <w:family w:val="auto"/>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- 11 -</w:t>
                          </w:r>
                          <w:r>
                            <w:rPr>
                              <w:rFonts w:hint="eastAsia" w:ascii="仿宋" w:hAnsi="仿宋" w:eastAsia="仿宋" w:cs="仿宋"/>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- 11 -</w:t>
                    </w:r>
                    <w:r>
                      <w:rPr>
                        <w:rFonts w:hint="eastAsia" w:ascii="仿宋" w:hAnsi="仿宋" w:eastAsia="仿宋" w:cs="仿宋"/>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CB3759"/>
    <w:multiLevelType w:val="singleLevel"/>
    <w:tmpl w:val="9DCB375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9"/>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05"/>
    <w:rsid w:val="00054471"/>
    <w:rsid w:val="000A773F"/>
    <w:rsid w:val="00125838"/>
    <w:rsid w:val="002455D2"/>
    <w:rsid w:val="002C2B32"/>
    <w:rsid w:val="002D41DE"/>
    <w:rsid w:val="002F1233"/>
    <w:rsid w:val="0035783B"/>
    <w:rsid w:val="00370B04"/>
    <w:rsid w:val="003F78E1"/>
    <w:rsid w:val="00454677"/>
    <w:rsid w:val="00527D7A"/>
    <w:rsid w:val="00630ED5"/>
    <w:rsid w:val="0063746B"/>
    <w:rsid w:val="00660632"/>
    <w:rsid w:val="006D0669"/>
    <w:rsid w:val="006E3FCF"/>
    <w:rsid w:val="00746393"/>
    <w:rsid w:val="007A5A1A"/>
    <w:rsid w:val="007B00CF"/>
    <w:rsid w:val="00965C6A"/>
    <w:rsid w:val="009854F6"/>
    <w:rsid w:val="009B20E7"/>
    <w:rsid w:val="00A50BE1"/>
    <w:rsid w:val="00A706F4"/>
    <w:rsid w:val="00A710B7"/>
    <w:rsid w:val="00A920F6"/>
    <w:rsid w:val="00AC3D2E"/>
    <w:rsid w:val="00B2392D"/>
    <w:rsid w:val="00B42100"/>
    <w:rsid w:val="00BB16E8"/>
    <w:rsid w:val="00C9158C"/>
    <w:rsid w:val="00CD0F0D"/>
    <w:rsid w:val="00CD776A"/>
    <w:rsid w:val="00D15EB5"/>
    <w:rsid w:val="00D70247"/>
    <w:rsid w:val="00D94E6C"/>
    <w:rsid w:val="00E43CD4"/>
    <w:rsid w:val="00E63411"/>
    <w:rsid w:val="00F45905"/>
    <w:rsid w:val="00FB1470"/>
    <w:rsid w:val="00FC2BA4"/>
    <w:rsid w:val="013F2392"/>
    <w:rsid w:val="03400E45"/>
    <w:rsid w:val="04A31BCB"/>
    <w:rsid w:val="04CF5D44"/>
    <w:rsid w:val="073415AE"/>
    <w:rsid w:val="07E63A7B"/>
    <w:rsid w:val="09514897"/>
    <w:rsid w:val="0A104AFD"/>
    <w:rsid w:val="0A2E494B"/>
    <w:rsid w:val="0AC27FE0"/>
    <w:rsid w:val="0D176F11"/>
    <w:rsid w:val="0D964405"/>
    <w:rsid w:val="0DED7FAB"/>
    <w:rsid w:val="0ECE71EF"/>
    <w:rsid w:val="0ED4165D"/>
    <w:rsid w:val="0F173871"/>
    <w:rsid w:val="0FDD1A87"/>
    <w:rsid w:val="10B56AC6"/>
    <w:rsid w:val="11B61E15"/>
    <w:rsid w:val="13484113"/>
    <w:rsid w:val="14A340D5"/>
    <w:rsid w:val="15650B72"/>
    <w:rsid w:val="15756A9F"/>
    <w:rsid w:val="162549DE"/>
    <w:rsid w:val="19A46097"/>
    <w:rsid w:val="1AA4228E"/>
    <w:rsid w:val="1B7F1145"/>
    <w:rsid w:val="1BED600F"/>
    <w:rsid w:val="1D1C1DDE"/>
    <w:rsid w:val="1E487731"/>
    <w:rsid w:val="1EE62C21"/>
    <w:rsid w:val="205B2104"/>
    <w:rsid w:val="207B18DC"/>
    <w:rsid w:val="20C8778C"/>
    <w:rsid w:val="21453F6C"/>
    <w:rsid w:val="244C24C2"/>
    <w:rsid w:val="26A55E0D"/>
    <w:rsid w:val="27761BE7"/>
    <w:rsid w:val="27CC21CA"/>
    <w:rsid w:val="28D5406B"/>
    <w:rsid w:val="28D6715B"/>
    <w:rsid w:val="2C302B86"/>
    <w:rsid w:val="2EC11D0C"/>
    <w:rsid w:val="2ED06ABA"/>
    <w:rsid w:val="2F6854E2"/>
    <w:rsid w:val="31B11D6C"/>
    <w:rsid w:val="325E4EBD"/>
    <w:rsid w:val="32C3700B"/>
    <w:rsid w:val="32D41AED"/>
    <w:rsid w:val="339F2B89"/>
    <w:rsid w:val="34497E52"/>
    <w:rsid w:val="38BF7B99"/>
    <w:rsid w:val="39571F80"/>
    <w:rsid w:val="39BE13CE"/>
    <w:rsid w:val="3CDE01A5"/>
    <w:rsid w:val="3D921BF0"/>
    <w:rsid w:val="3E0B0323"/>
    <w:rsid w:val="3F440C8A"/>
    <w:rsid w:val="405E4AC3"/>
    <w:rsid w:val="441227A8"/>
    <w:rsid w:val="44E62266"/>
    <w:rsid w:val="45483012"/>
    <w:rsid w:val="457E1B1B"/>
    <w:rsid w:val="465715B9"/>
    <w:rsid w:val="467D0593"/>
    <w:rsid w:val="46A115DC"/>
    <w:rsid w:val="49D20536"/>
    <w:rsid w:val="49F01BB4"/>
    <w:rsid w:val="4A032039"/>
    <w:rsid w:val="4B3D4875"/>
    <w:rsid w:val="4C854D77"/>
    <w:rsid w:val="4D4E4743"/>
    <w:rsid w:val="4D8A7639"/>
    <w:rsid w:val="4E5C3A5E"/>
    <w:rsid w:val="4FDC4894"/>
    <w:rsid w:val="5002252E"/>
    <w:rsid w:val="506F5879"/>
    <w:rsid w:val="51A00BC7"/>
    <w:rsid w:val="51DB3517"/>
    <w:rsid w:val="5270591F"/>
    <w:rsid w:val="52BE049C"/>
    <w:rsid w:val="54152E85"/>
    <w:rsid w:val="57387D1F"/>
    <w:rsid w:val="58D212FC"/>
    <w:rsid w:val="58F63E19"/>
    <w:rsid w:val="596A63C7"/>
    <w:rsid w:val="597278C8"/>
    <w:rsid w:val="5AE3470A"/>
    <w:rsid w:val="5B770154"/>
    <w:rsid w:val="5B8B5BF7"/>
    <w:rsid w:val="5CC13CB7"/>
    <w:rsid w:val="5D2C57E9"/>
    <w:rsid w:val="5D74445D"/>
    <w:rsid w:val="60871A3D"/>
    <w:rsid w:val="609D3A8F"/>
    <w:rsid w:val="61506D7C"/>
    <w:rsid w:val="62745791"/>
    <w:rsid w:val="63D8665D"/>
    <w:rsid w:val="64DF44FA"/>
    <w:rsid w:val="65853974"/>
    <w:rsid w:val="66900039"/>
    <w:rsid w:val="674B122D"/>
    <w:rsid w:val="675B69BD"/>
    <w:rsid w:val="679D2E08"/>
    <w:rsid w:val="682F6A57"/>
    <w:rsid w:val="69A11325"/>
    <w:rsid w:val="6AD21DBB"/>
    <w:rsid w:val="6B62333A"/>
    <w:rsid w:val="6B753EFA"/>
    <w:rsid w:val="6D504737"/>
    <w:rsid w:val="6D946EE7"/>
    <w:rsid w:val="6E30148F"/>
    <w:rsid w:val="6EEC3FFA"/>
    <w:rsid w:val="6F8E682B"/>
    <w:rsid w:val="6FC45A08"/>
    <w:rsid w:val="719C4AB0"/>
    <w:rsid w:val="71B23D00"/>
    <w:rsid w:val="71C57869"/>
    <w:rsid w:val="72026FB7"/>
    <w:rsid w:val="72F05504"/>
    <w:rsid w:val="75547EA7"/>
    <w:rsid w:val="7702261E"/>
    <w:rsid w:val="773A4814"/>
    <w:rsid w:val="77494D9A"/>
    <w:rsid w:val="77D3047E"/>
    <w:rsid w:val="783545E6"/>
    <w:rsid w:val="79F12BA9"/>
    <w:rsid w:val="7A7A389A"/>
    <w:rsid w:val="7A991BFF"/>
    <w:rsid w:val="7BF60722"/>
    <w:rsid w:val="7CA52EDE"/>
    <w:rsid w:val="7CB27416"/>
    <w:rsid w:val="7EA346BD"/>
    <w:rsid w:val="7F5E4F69"/>
    <w:rsid w:val="7FB73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29"/>
    <w:unhideWhenUsed/>
    <w:qFormat/>
    <w:uiPriority w:val="99"/>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FollowedHyperlink"/>
    <w:unhideWhenUsed/>
    <w:qFormat/>
    <w:uiPriority w:val="99"/>
    <w:rPr>
      <w:color w:val="111111"/>
      <w:u w:val="none"/>
    </w:rPr>
  </w:style>
  <w:style w:type="character" w:styleId="9">
    <w:name w:val="Hyperlink"/>
    <w:unhideWhenUsed/>
    <w:qFormat/>
    <w:uiPriority w:val="99"/>
    <w:rPr>
      <w:color w:val="111111"/>
      <w:u w:val="none"/>
    </w:rPr>
  </w:style>
  <w:style w:type="character" w:customStyle="1" w:styleId="10">
    <w:name w:val="jfiler-icon-file"/>
    <w:qFormat/>
    <w:uiPriority w:val="0"/>
    <w:rPr>
      <w:rFonts w:ascii="sans-serif" w:hAnsi="sans-serif" w:eastAsia="sans-serif" w:cs="sans-serif"/>
      <w:b/>
      <w:color w:val="FFFFFF"/>
      <w:sz w:val="19"/>
      <w:szCs w:val="19"/>
    </w:rPr>
  </w:style>
  <w:style w:type="character" w:customStyle="1" w:styleId="11">
    <w:name w:val="hover79"/>
    <w:qFormat/>
    <w:uiPriority w:val="0"/>
    <w:rPr>
      <w:color w:val="FFFFFF"/>
    </w:rPr>
  </w:style>
  <w:style w:type="character" w:customStyle="1" w:styleId="12">
    <w:name w:val="checked1"/>
    <w:basedOn w:val="7"/>
    <w:qFormat/>
    <w:uiPriority w:val="0"/>
  </w:style>
  <w:style w:type="character" w:customStyle="1" w:styleId="13">
    <w:name w:val="layui-this"/>
    <w:qFormat/>
    <w:uiPriority w:val="0"/>
    <w:rPr>
      <w:bdr w:val="single" w:color="EEEEEE" w:sz="6" w:space="0"/>
      <w:shd w:val="clear" w:color="auto" w:fill="FFFFFF"/>
    </w:rPr>
  </w:style>
  <w:style w:type="character" w:customStyle="1" w:styleId="14">
    <w:name w:val="icon-mylist"/>
    <w:basedOn w:val="7"/>
    <w:qFormat/>
    <w:uiPriority w:val="0"/>
  </w:style>
  <w:style w:type="character" w:customStyle="1" w:styleId="15">
    <w:name w:val="hover78"/>
    <w:qFormat/>
    <w:uiPriority w:val="0"/>
    <w:rPr>
      <w:color w:val="5FB878"/>
    </w:rPr>
  </w:style>
  <w:style w:type="character" w:customStyle="1" w:styleId="16">
    <w:name w:val="arrow5"/>
    <w:basedOn w:val="7"/>
    <w:qFormat/>
    <w:uiPriority w:val="0"/>
  </w:style>
  <w:style w:type="character" w:customStyle="1" w:styleId="17">
    <w:name w:val="arrow3"/>
    <w:basedOn w:val="7"/>
    <w:qFormat/>
    <w:uiPriority w:val="0"/>
  </w:style>
  <w:style w:type="character" w:customStyle="1" w:styleId="18">
    <w:name w:val="field"/>
    <w:basedOn w:val="7"/>
    <w:qFormat/>
    <w:uiPriority w:val="0"/>
  </w:style>
  <w:style w:type="character" w:customStyle="1" w:styleId="19">
    <w:name w:val="icon-speech"/>
    <w:basedOn w:val="7"/>
    <w:qFormat/>
    <w:uiPriority w:val="0"/>
  </w:style>
  <w:style w:type="character" w:customStyle="1" w:styleId="20">
    <w:name w:val="checked"/>
    <w:basedOn w:val="7"/>
    <w:qFormat/>
    <w:uiPriority w:val="0"/>
  </w:style>
  <w:style w:type="character" w:customStyle="1" w:styleId="21">
    <w:name w:val="arrow7"/>
    <w:qFormat/>
    <w:uiPriority w:val="0"/>
    <w:rPr>
      <w:vanish/>
    </w:rPr>
  </w:style>
  <w:style w:type="character" w:customStyle="1" w:styleId="22">
    <w:name w:val="icon-sign"/>
    <w:basedOn w:val="7"/>
    <w:qFormat/>
    <w:uiPriority w:val="0"/>
  </w:style>
  <w:style w:type="character" w:customStyle="1" w:styleId="23">
    <w:name w:val="fc-state-active2"/>
    <w:qFormat/>
    <w:uiPriority w:val="0"/>
    <w:rPr>
      <w:color w:val="FB9337"/>
      <w:bdr w:val="single" w:color="CCCCCC" w:sz="6" w:space="0"/>
      <w:shd w:val="clear" w:color="auto" w:fill="EEEEEE"/>
    </w:rPr>
  </w:style>
  <w:style w:type="character" w:customStyle="1" w:styleId="24">
    <w:name w:val="arrow1"/>
    <w:basedOn w:val="7"/>
    <w:qFormat/>
    <w:uiPriority w:val="0"/>
  </w:style>
  <w:style w:type="character" w:customStyle="1" w:styleId="25">
    <w:name w:val="icon-pencil"/>
    <w:basedOn w:val="7"/>
    <w:qFormat/>
    <w:uiPriority w:val="0"/>
  </w:style>
  <w:style w:type="character" w:customStyle="1" w:styleId="26">
    <w:name w:val="icon-info"/>
    <w:basedOn w:val="7"/>
    <w:qFormat/>
    <w:uiPriority w:val="0"/>
  </w:style>
  <w:style w:type="character" w:customStyle="1" w:styleId="27">
    <w:name w:val="label9"/>
    <w:qFormat/>
    <w:uiPriority w:val="0"/>
    <w:rPr>
      <w:b/>
      <w:color w:val="999999"/>
    </w:rPr>
  </w:style>
  <w:style w:type="character" w:customStyle="1" w:styleId="28">
    <w:name w:val="arrow2"/>
    <w:qFormat/>
    <w:uiPriority w:val="0"/>
    <w:rPr>
      <w:vanish/>
    </w:rPr>
  </w:style>
  <w:style w:type="character" w:customStyle="1" w:styleId="29">
    <w:name w:val="批注框文本 Char"/>
    <w:link w:val="2"/>
    <w:semiHidden/>
    <w:qFormat/>
    <w:uiPriority w:val="99"/>
    <w:rPr>
      <w:kern w:val="2"/>
      <w:sz w:val="18"/>
      <w:szCs w:val="18"/>
    </w:rPr>
  </w:style>
  <w:style w:type="character" w:customStyle="1" w:styleId="30">
    <w:name w:val="msgcount"/>
    <w:qFormat/>
    <w:uiPriority w:val="0"/>
    <w:rPr>
      <w:b/>
      <w:color w:val="FFFFFF"/>
      <w:sz w:val="15"/>
      <w:szCs w:val="15"/>
      <w:shd w:val="clear" w:color="auto" w:fill="FB9337"/>
    </w:rPr>
  </w:style>
  <w:style w:type="character" w:customStyle="1" w:styleId="31">
    <w:name w:val="arrow8"/>
    <w:basedOn w:val="7"/>
    <w:qFormat/>
    <w:uiPriority w:val="0"/>
  </w:style>
  <w:style w:type="character" w:customStyle="1" w:styleId="32">
    <w:name w:val="filename1"/>
    <w:qFormat/>
    <w:uiPriority w:val="0"/>
    <w:rPr>
      <w:sz w:val="16"/>
      <w:szCs w:val="16"/>
    </w:rPr>
  </w:style>
  <w:style w:type="character" w:customStyle="1" w:styleId="33">
    <w:name w:val="first-child1"/>
    <w:qFormat/>
    <w:uiPriority w:val="0"/>
  </w:style>
  <w:style w:type="character" w:customStyle="1" w:styleId="34">
    <w:name w:val="tag"/>
    <w:qFormat/>
    <w:uiPriority w:val="0"/>
    <w:rPr>
      <w:rFonts w:ascii="Helvetica" w:hAnsi="Helvetica" w:eastAsia="Helvetica" w:cs="Helvetica"/>
      <w:color w:val="FFFFFF"/>
      <w:sz w:val="19"/>
      <w:szCs w:val="19"/>
      <w:u w:val="none"/>
      <w:bdr w:val="single" w:color="F0882C" w:sz="6" w:space="0"/>
      <w:shd w:val="clear" w:color="auto" w:fill="FB9337"/>
    </w:rPr>
  </w:style>
  <w:style w:type="character" w:customStyle="1" w:styleId="35">
    <w:name w:val="icon1"/>
    <w:basedOn w:val="7"/>
    <w:qFormat/>
    <w:uiPriority w:val="0"/>
  </w:style>
  <w:style w:type="character" w:customStyle="1" w:styleId="36">
    <w:name w:val="icon-chart"/>
    <w:basedOn w:val="7"/>
    <w:qFormat/>
    <w:uiPriority w:val="0"/>
  </w:style>
  <w:style w:type="character" w:customStyle="1" w:styleId="37">
    <w:name w:val="dot2"/>
    <w:basedOn w:val="7"/>
    <w:qFormat/>
    <w:uiPriority w:val="0"/>
  </w:style>
  <w:style w:type="character" w:customStyle="1" w:styleId="38">
    <w:name w:val="dot"/>
    <w:basedOn w:val="7"/>
    <w:qFormat/>
    <w:uiPriority w:val="0"/>
  </w:style>
  <w:style w:type="character" w:customStyle="1" w:styleId="39">
    <w:name w:val="field1"/>
    <w:qFormat/>
    <w:uiPriority w:val="0"/>
    <w:rPr>
      <w:bdr w:val="single" w:color="DDDDDD" w:sz="6" w:space="0"/>
      <w:shd w:val="clear" w:color="auto" w:fill="FFFFFF"/>
    </w:rPr>
  </w:style>
  <w:style w:type="character" w:customStyle="1" w:styleId="40">
    <w:name w:val="icon-message"/>
    <w:basedOn w:val="7"/>
    <w:qFormat/>
    <w:uiPriority w:val="0"/>
  </w:style>
  <w:style w:type="character" w:customStyle="1" w:styleId="41">
    <w:name w:val="icon"/>
    <w:qFormat/>
    <w:uiPriority w:val="0"/>
  </w:style>
  <w:style w:type="character" w:customStyle="1" w:styleId="42">
    <w:name w:val="first-child"/>
    <w:basedOn w:val="7"/>
    <w:qFormat/>
    <w:uiPriority w:val="0"/>
  </w:style>
  <w:style w:type="character" w:customStyle="1" w:styleId="43">
    <w:name w:val="disabled"/>
    <w:qFormat/>
    <w:uiPriority w:val="0"/>
    <w:rPr>
      <w:color w:val="FFFFFF"/>
      <w:sz w:val="18"/>
      <w:szCs w:val="18"/>
      <w:bdr w:val="single" w:color="C8C8C8" w:sz="6" w:space="0"/>
      <w:shd w:val="clear" w:color="auto" w:fill="C8C8C8"/>
    </w:rPr>
  </w:style>
  <w:style w:type="character" w:customStyle="1" w:styleId="44">
    <w:name w:val="dot1"/>
    <w:basedOn w:val="7"/>
    <w:qFormat/>
    <w:uiPriority w:val="0"/>
  </w:style>
  <w:style w:type="character" w:customStyle="1" w:styleId="45">
    <w:name w:val="arrow"/>
    <w:basedOn w:val="7"/>
    <w:qFormat/>
    <w:uiPriority w:val="0"/>
  </w:style>
  <w:style w:type="character" w:customStyle="1" w:styleId="46">
    <w:name w:val="filename"/>
    <w:qFormat/>
    <w:uiPriority w:val="0"/>
    <w:rPr>
      <w:color w:val="777777"/>
      <w:sz w:val="16"/>
      <w:szCs w:val="16"/>
    </w:rPr>
  </w:style>
  <w:style w:type="character" w:customStyle="1" w:styleId="47">
    <w:name w:val="action2"/>
    <w:qFormat/>
    <w:uiPriority w:val="0"/>
    <w:rPr>
      <w:b/>
      <w:sz w:val="16"/>
      <w:szCs w:val="16"/>
      <w:shd w:val="clear" w:color="auto" w:fill="FFFFFF"/>
    </w:rPr>
  </w:style>
  <w:style w:type="character" w:customStyle="1" w:styleId="48">
    <w:name w:val="icon-list"/>
    <w:basedOn w:val="7"/>
    <w:qFormat/>
    <w:uiPriority w:val="0"/>
  </w:style>
  <w:style w:type="character" w:customStyle="1" w:styleId="49">
    <w:name w:val="jfiler-icon-file1"/>
    <w:basedOn w:val="7"/>
    <w:qFormat/>
    <w:uiPriority w:val="0"/>
  </w:style>
  <w:style w:type="character" w:customStyle="1" w:styleId="50">
    <w:name w:val="current2"/>
    <w:qFormat/>
    <w:uiPriority w:val="0"/>
    <w:rPr>
      <w:color w:val="FFFFFF"/>
      <w:sz w:val="18"/>
      <w:szCs w:val="18"/>
      <w:bdr w:val="single" w:color="3EBB2B" w:sz="6" w:space="0"/>
      <w:shd w:val="clear" w:color="auto" w:fill="3EBB2B"/>
    </w:rPr>
  </w:style>
  <w:style w:type="character" w:customStyle="1" w:styleId="51">
    <w:name w:val="arrow4"/>
    <w:basedOn w:val="7"/>
    <w:qFormat/>
    <w:uiPriority w:val="0"/>
  </w:style>
  <w:style w:type="character" w:customStyle="1" w:styleId="52">
    <w:name w:val="label8"/>
    <w:qFormat/>
    <w:uiPriority w:val="0"/>
    <w:rPr>
      <w:color w:val="111111"/>
    </w:rPr>
  </w:style>
  <w:style w:type="character" w:customStyle="1" w:styleId="53">
    <w:name w:val="arrow6"/>
    <w:basedOn w:val="7"/>
    <w:qFormat/>
    <w:uiPriority w:val="0"/>
  </w:style>
  <w:style w:type="character" w:customStyle="1" w:styleId="54">
    <w:name w:val="hover80"/>
    <w:qFormat/>
    <w:uiPriority w:val="0"/>
    <w:rPr>
      <w:color w:val="5FB878"/>
    </w:rPr>
  </w:style>
  <w:style w:type="character" w:customStyle="1" w:styleId="55">
    <w:name w:val="icon-flatscreen"/>
    <w:basedOn w:val="7"/>
    <w:qFormat/>
    <w:uiPriority w:val="0"/>
  </w:style>
  <w:style w:type="character" w:customStyle="1" w:styleId="56">
    <w:name w:val="last-child1"/>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1117</Words>
  <Characters>6371</Characters>
  <Lines>53</Lines>
  <Paragraphs>14</Paragraphs>
  <TotalTime>307</TotalTime>
  <ScaleCrop>false</ScaleCrop>
  <LinksUpToDate>false</LinksUpToDate>
  <CharactersWithSpaces>7474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2019-05-05T06:31:00Z</dcterms:created>
  <dc:creator>lenovo</dc:creator>
  <cp:lastModifiedBy>张玲玲</cp:lastModifiedBy>
  <cp:lastPrinted>2019-08-12T01:34:34Z</cp:lastPrinted>
  <dcterms:modified xsi:type="dcterms:W3CDTF">2019-08-12T01:36:08Z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