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jc w:val="both"/>
        <w:rPr>
          <w:rFonts w:ascii="黑体" w:hAnsi="黑体" w:eastAsia="黑体"/>
          <w:b/>
          <w:bCs/>
          <w:color w:val="FF0000"/>
          <w:sz w:val="36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b/>
          <w:bCs/>
          <w:color w:val="FF0000"/>
          <w:sz w:val="36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328295</wp:posOffset>
            </wp:positionV>
            <wp:extent cx="5573395" cy="662940"/>
            <wp:effectExtent l="19050" t="0" r="8255" b="0"/>
            <wp:wrapNone/>
            <wp:docPr id="3" name="图片 2" descr="new经信厅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new经信厅文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9"/>
        <w:spacing w:line="560" w:lineRule="exact"/>
        <w:jc w:val="center"/>
        <w:rPr>
          <w:szCs w:val="32"/>
        </w:rPr>
      </w:pPr>
    </w:p>
    <w:p>
      <w:pPr>
        <w:pStyle w:val="9"/>
        <w:spacing w:line="560" w:lineRule="exact"/>
        <w:jc w:val="center"/>
        <w:rPr>
          <w:szCs w:val="32"/>
        </w:rPr>
      </w:pPr>
    </w:p>
    <w:p>
      <w:pPr>
        <w:pStyle w:val="9"/>
        <w:spacing w:line="560" w:lineRule="exact"/>
        <w:jc w:val="center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浙经信企业〔2019〕158号</w:t>
      </w:r>
    </w:p>
    <w:p>
      <w:pPr>
        <w:pStyle w:val="9"/>
        <w:spacing w:line="560" w:lineRule="exact"/>
        <w:jc w:val="center"/>
        <w:rPr>
          <w:rFonts w:eastAsia="黑体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218440</wp:posOffset>
                </wp:positionV>
                <wp:extent cx="5733415" cy="635"/>
                <wp:effectExtent l="0" t="0" r="0" b="0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41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6.65pt;margin-top:17.2pt;height:0.05pt;width:451.45pt;z-index:251660288;mso-width-relative:page;mso-height-relative:page;" filled="f" stroked="t" coordsize="21600,21600" o:gfxdata="UEsDBAoAAAAAAIdO4kAAAAAAAAAAAAAAAAAEAAAAZHJzL1BLAwQUAAAACACHTuJAc6v0Y9gAAAAJ&#10;AQAADwAAAGRycy9kb3ducmV2LnhtbE2PwU7DMAyG70i8Q2QkLmhLu5atK013ACFuIAYSVy/x2orG&#10;KU22Dp6e7ARH259+f3+1OdleHGn0nWMF6TwBQayd6bhR8P72OCtA+IBssHdMCr7Jw6a+vKiwNG7i&#10;VzpuQyNiCPsSFbQhDKWUXrdk0c/dQBxvezdaDHEcG2lGnGK47eUiSZbSYsfxQ4sD3bekP7cHq4BX&#10;6yf99fIRdC6nyd1kP8+4eFDq+ipN7kAEOoU/GM76UR3q6LRzBzZe9ApmaZZFVEGW5yAiUBTrJYjd&#10;eXELsq7k/wb1L1BLAwQUAAAACACHTuJANFVXVOMBAACnAwAADgAAAGRycy9lMm9Eb2MueG1srVNL&#10;jhMxEN0jcQfLe9KdCZkZtdKZxYSwQRAJ5gAVf7ot+Sfbk04uwQWQ2MGKJXtuM8Mxpuw0YYANQvSi&#10;uuwqv673/HpxtTea7ESIytmWTic1JcIyx5XtWnrzbv3skpKYwHLQzoqWHkSkV8unTxaDb8SZ653m&#10;IhAEsbEZfEv7lHxTVZH1wkCcOC8sFqULBhIuQ1fxAAOiG12d1fV5NbjAfXBMxIi7q2ORLgu+lIKl&#10;N1JGkYhuKc6WSgwlbnOslgtougC+V2wcA/5hCgPK4kdPUCtIQG6D+gPKKBZcdDJNmDOVk1IxUTgg&#10;m2n9G5u3PXhRuKA40Z9kiv8Plr3ebQJRHO+OEgsGr+j+w9e795++f/uI8f7LZzLLIg0+Nth7bTdh&#10;XEW/CZnxXgaT38iF7Iuwh5OwYp8Iw835xWz2fDqnhGHtfDbPiNXPoz7E9FI4Q3LSUq1sZg0N7F7F&#10;dGz90ZK3tSUDzju/vMiIgK6RGhKmxiOPaLtyODqt+FppnY/E0G2vdSA7QB+s1zU+4wy/tOWvrCD2&#10;x75Sym3Q9AL4C8tJOnhUyKKVaZ7BCE6JFuj8nJXOBEr/TSfS1zZDi+LSkWiW+ShszraOH/B2bn1Q&#10;XY/CTMvMuYJuKAqOzs12e7zG/PH/tXw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6v0Y9gAAAAJ&#10;AQAADwAAAAAAAAABACAAAAAiAAAAZHJzL2Rvd25yZXYueG1sUEsBAhQAFAAAAAgAh07iQDRVV1Tj&#10;AQAApwMAAA4AAAAAAAAAAQAgAAAAJwEAAGRycy9lMm9Eb2MueG1sUEsFBgAAAAAGAAYAWQEAAHwF&#10;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spacing w:line="560" w:lineRule="exact"/>
        <w:ind w:right="62"/>
        <w:jc w:val="center"/>
        <w:rPr>
          <w:rFonts w:ascii="方正小标宋简体" w:hAnsi="方正小标宋简体" w:eastAsia="方正小标宋简体"/>
          <w:sz w:val="44"/>
          <w:szCs w:val="36"/>
        </w:rPr>
      </w:pPr>
    </w:p>
    <w:p>
      <w:pPr>
        <w:pStyle w:val="9"/>
        <w:spacing w:line="560" w:lineRule="exact"/>
        <w:ind w:right="62"/>
        <w:jc w:val="center"/>
        <w:rPr>
          <w:rFonts w:ascii="方正小标宋简体" w:hAnsi="方正小标宋简体" w:eastAsia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/>
          <w:sz w:val="44"/>
          <w:szCs w:val="36"/>
        </w:rPr>
        <w:t>浙江省经济和信息化厅关于组织2019年隐形冠军及培育企业申报工作的通知</w:t>
      </w:r>
    </w:p>
    <w:p>
      <w:pPr>
        <w:pStyle w:val="9"/>
        <w:wordWrap w:val="0"/>
        <w:spacing w:line="560" w:lineRule="exact"/>
        <w:jc w:val="both"/>
        <w:rPr>
          <w:rFonts w:ascii="仿宋" w:hAnsi="仿宋" w:eastAsia="仿宋" w:cs="仿宋"/>
          <w:sz w:val="28"/>
          <w:szCs w:val="28"/>
        </w:rPr>
      </w:pPr>
    </w:p>
    <w:p>
      <w:pPr>
        <w:pStyle w:val="9"/>
        <w:rPr>
          <w:rFonts w:ascii="仿宋" w:hAnsi="仿宋" w:eastAsia="仿宋" w:cs="仿宋"/>
        </w:rPr>
      </w:pPr>
      <w:bookmarkStart w:id="0" w:name="主送机关"/>
      <w:r>
        <w:rPr>
          <w:rFonts w:hint="eastAsia" w:ascii="仿宋" w:hAnsi="仿宋" w:eastAsia="仿宋" w:cs="仿宋"/>
        </w:rPr>
        <w:t>各市、县（市、区）经信局</w:t>
      </w:r>
      <w:bookmarkEnd w:id="0"/>
      <w:r>
        <w:rPr>
          <w:rFonts w:hint="eastAsia" w:ascii="仿宋" w:hAnsi="仿宋" w:eastAsia="仿宋" w:cs="仿宋"/>
        </w:rPr>
        <w:t>：</w:t>
      </w:r>
    </w:p>
    <w:p>
      <w:pPr>
        <w:pStyle w:val="9"/>
        <w:spacing w:line="560" w:lineRule="exact"/>
        <w:ind w:firstLine="640" w:firstLineChars="200"/>
        <w:jc w:val="both"/>
        <w:rPr>
          <w:rFonts w:ascii="仿宋_GB2312" w:hAnsi="华文仿宋" w:cs="仿宋"/>
          <w:szCs w:val="32"/>
        </w:rPr>
      </w:pPr>
      <w:r>
        <w:rPr>
          <w:rFonts w:hint="eastAsia" w:ascii="仿宋_GB2312" w:hAnsi="华文仿宋" w:cs="仿宋"/>
          <w:szCs w:val="32"/>
        </w:rPr>
        <w:t>为贯彻落实《浙江省人民政府办公厅关于开展“雏鹰行动”培育隐形冠军企业的实施意见》（浙政办发</w:t>
      </w:r>
      <w:r>
        <w:rPr>
          <w:rFonts w:hint="eastAsia" w:ascii="仿宋_GB2312" w:hAnsi="华文仿宋" w:eastAsia="华文仿宋" w:cs="仿宋"/>
          <w:szCs w:val="32"/>
        </w:rPr>
        <w:t>﹝</w:t>
      </w:r>
      <w:r>
        <w:rPr>
          <w:rFonts w:hint="eastAsia" w:ascii="仿宋_GB2312" w:hAnsi="华文仿宋" w:cs="仿宋"/>
          <w:szCs w:val="32"/>
        </w:rPr>
        <w:t>2019</w:t>
      </w:r>
      <w:r>
        <w:rPr>
          <w:rFonts w:hint="eastAsia" w:ascii="仿宋_GB2312" w:hAnsi="华文仿宋" w:eastAsia="华文仿宋" w:cs="仿宋"/>
          <w:szCs w:val="32"/>
        </w:rPr>
        <w:t>﹞</w:t>
      </w:r>
      <w:r>
        <w:rPr>
          <w:rFonts w:hint="eastAsia" w:ascii="仿宋_GB2312" w:hAnsi="华文仿宋" w:cs="仿宋"/>
          <w:szCs w:val="32"/>
        </w:rPr>
        <w:t>28号），打造一批隐形冠军企业，</w:t>
      </w:r>
      <w:r>
        <w:rPr>
          <w:rFonts w:hint="eastAsia" w:ascii="仿宋_GB2312" w:hAnsi="华文仿宋" w:cs="仿宋"/>
          <w:szCs w:val="32"/>
          <w:lang w:val="zh-CN"/>
        </w:rPr>
        <w:t>推动我省中小企业向专精特新</w:t>
      </w:r>
      <w:r>
        <w:rPr>
          <w:rFonts w:hint="eastAsia" w:ascii="仿宋_GB2312" w:hAnsi="华文仿宋" w:cs="仿宋"/>
          <w:szCs w:val="32"/>
        </w:rPr>
        <w:t>高质量发展，现将2019年隐形冠军及培育企业有关申报事项通知如下：</w:t>
      </w:r>
    </w:p>
    <w:p>
      <w:pPr>
        <w:widowControl/>
        <w:autoSpaceDE w:val="0"/>
        <w:autoSpaceDN w:val="0"/>
        <w:spacing w:line="560" w:lineRule="exact"/>
        <w:ind w:firstLine="640"/>
        <w:rPr>
          <w:rFonts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一、目标任务</w:t>
      </w:r>
    </w:p>
    <w:p>
      <w:pPr>
        <w:widowControl/>
        <w:autoSpaceDE w:val="0"/>
        <w:autoSpaceDN w:val="0"/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2019年计划确认40家左右隐形冠军企业，270家左右隐形冠军培育企业。</w:t>
      </w:r>
    </w:p>
    <w:p>
      <w:pPr>
        <w:widowControl/>
        <w:numPr>
          <w:ilvl w:val="0"/>
          <w:numId w:val="1"/>
        </w:numPr>
        <w:autoSpaceDE w:val="0"/>
        <w:autoSpaceDN w:val="0"/>
        <w:spacing w:line="560" w:lineRule="exact"/>
        <w:ind w:firstLine="643" w:firstLineChars="200"/>
        <w:rPr>
          <w:rFonts w:ascii="仿宋_GB2312" w:hAnsi="华文仿宋" w:eastAsia="仿宋_GB2312"/>
          <w:b/>
          <w:sz w:val="32"/>
          <w:szCs w:val="32"/>
        </w:rPr>
      </w:pPr>
      <w:r>
        <w:rPr>
          <w:rFonts w:hint="eastAsia" w:ascii="仿宋_GB2312" w:hAnsi="华文仿宋" w:eastAsia="仿宋_GB2312"/>
          <w:b/>
          <w:sz w:val="32"/>
          <w:szCs w:val="32"/>
        </w:rPr>
        <w:t>隐形冠军企业申报条件</w:t>
      </w:r>
    </w:p>
    <w:p>
      <w:pPr>
        <w:widowControl/>
        <w:autoSpaceDE w:val="0"/>
        <w:autoSpaceDN w:val="0"/>
        <w:spacing w:line="56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企业</w:t>
      </w:r>
      <w:r>
        <w:rPr>
          <w:rFonts w:hint="eastAsia" w:ascii="仿宋_GB2312" w:hAnsi="华文仿宋" w:eastAsia="仿宋_GB2312"/>
          <w:sz w:val="32"/>
          <w:szCs w:val="32"/>
          <w:lang w:val="zh-CN"/>
        </w:rPr>
        <w:t>守法经营，照章纳税。近三年内无</w:t>
      </w:r>
      <w:r>
        <w:rPr>
          <w:rFonts w:hint="eastAsia" w:ascii="仿宋_GB2312" w:hAnsi="华文仿宋" w:eastAsia="仿宋_GB2312"/>
          <w:sz w:val="32"/>
          <w:szCs w:val="32"/>
        </w:rPr>
        <w:t>重大安全生产、质量、环保事故发生和不良诚信记录，同时需符合以下要求：</w:t>
      </w:r>
    </w:p>
    <w:p>
      <w:pPr>
        <w:pStyle w:val="2"/>
        <w:ind w:firstLine="643"/>
        <w:rPr>
          <w:rFonts w:ascii="仿宋_GB2312" w:hAnsi="华文仿宋" w:eastAsia="仿宋_GB2312" w:cs="楷体"/>
          <w:b/>
          <w:sz w:val="32"/>
          <w:szCs w:val="32"/>
        </w:rPr>
      </w:pPr>
      <w:r>
        <w:rPr>
          <w:rFonts w:hint="eastAsia" w:ascii="仿宋_GB2312" w:hAnsi="华文仿宋" w:eastAsia="仿宋_GB2312" w:cs="楷体"/>
          <w:b/>
          <w:sz w:val="32"/>
          <w:szCs w:val="32"/>
        </w:rPr>
        <w:t>（一）申报领域</w:t>
      </w:r>
    </w:p>
    <w:p>
      <w:pPr>
        <w:pStyle w:val="2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企业所属行业为国家和省重点鼓励发展的产业，属于《中国制造2025浙江行动纲要》明确的11类重点发展产业或浙江省“</w:t>
      </w:r>
      <w:r>
        <w:rPr>
          <w:rFonts w:hint="eastAsia" w:ascii="仿宋_GB2312" w:hAnsi="华文仿宋" w:eastAsia="仿宋_GB2312" w:cs="Times New Roman"/>
          <w:sz w:val="32"/>
          <w:szCs w:val="32"/>
          <w:lang w:val="zh-CN"/>
        </w:rPr>
        <w:t>传统制造业改造提升”</w:t>
      </w:r>
      <w:r>
        <w:rPr>
          <w:rFonts w:hint="eastAsia" w:ascii="仿宋_GB2312" w:hAnsi="华文仿宋" w:eastAsia="仿宋_GB2312" w:cs="Times New Roman"/>
          <w:sz w:val="32"/>
          <w:szCs w:val="32"/>
        </w:rPr>
        <w:t>重点行业。</w:t>
      </w:r>
    </w:p>
    <w:p>
      <w:pPr>
        <w:pStyle w:val="2"/>
        <w:ind w:firstLine="643"/>
        <w:rPr>
          <w:rFonts w:ascii="仿宋_GB2312" w:hAnsi="华文仿宋" w:eastAsia="仿宋_GB2312" w:cs="楷体"/>
          <w:b/>
          <w:sz w:val="32"/>
          <w:szCs w:val="32"/>
        </w:rPr>
      </w:pPr>
      <w:r>
        <w:rPr>
          <w:rFonts w:hint="eastAsia" w:ascii="仿宋_GB2312" w:hAnsi="华文仿宋" w:eastAsia="仿宋_GB2312" w:cs="楷体"/>
          <w:b/>
          <w:sz w:val="32"/>
          <w:szCs w:val="32"/>
        </w:rPr>
        <w:t>（二）综合效益</w:t>
      </w:r>
    </w:p>
    <w:p>
      <w:pPr>
        <w:pStyle w:val="2"/>
        <w:ind w:firstLine="640"/>
        <w:rPr>
          <w:rFonts w:ascii="仿宋_GB2312" w:hAnsi="华文仿宋" w:eastAsia="仿宋_GB2312"/>
          <w:b/>
          <w:bCs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1、2018</w:t>
      </w:r>
      <w:r>
        <w:rPr>
          <w:rFonts w:hint="eastAsia" w:ascii="仿宋_GB2312" w:hAnsi="华文仿宋" w:eastAsia="仿宋_GB2312" w:cs="Times New Roman"/>
          <w:sz w:val="32"/>
          <w:szCs w:val="32"/>
          <w:lang w:val="zh-CN"/>
        </w:rPr>
        <w:t>年度企业营业收入在</w:t>
      </w:r>
      <w:r>
        <w:rPr>
          <w:rFonts w:hint="eastAsia" w:ascii="仿宋_GB2312" w:hAnsi="华文仿宋" w:eastAsia="仿宋_GB2312" w:cs="Times New Roman"/>
          <w:sz w:val="32"/>
          <w:szCs w:val="32"/>
        </w:rPr>
        <w:t>5000万元至20亿元之间；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2、2016-2018年企业营业收入持续增长，净利润平均增长率达到10%以上。近2年受中美贸易摩擦影响较大的企业可以适当放宽，但应提供具体情况说明；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3、企业资产负债率不高于70%，且银行资信等级A级以上。</w:t>
      </w:r>
    </w:p>
    <w:p>
      <w:pPr>
        <w:spacing w:line="560" w:lineRule="exact"/>
        <w:ind w:firstLine="643"/>
        <w:rPr>
          <w:rFonts w:ascii="仿宋_GB2312" w:hAnsi="华文仿宋" w:eastAsia="仿宋_GB2312"/>
          <w:b/>
          <w:bCs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sz w:val="32"/>
          <w:szCs w:val="32"/>
        </w:rPr>
        <w:t>（三）专业化程度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1、企业从事特定细分市场时间达到5年及以上；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2、主要产品销售额占企业全部销售70%以上（如有多个主要产品的，产品之间应有直接关联性）；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3、主要产品在细分行业内具有优良信誉，且细分市场占有率位于全国前5位或全省前3位；以出口为主的产品，市场占有率位于全球前10位。</w:t>
      </w:r>
    </w:p>
    <w:p>
      <w:pPr>
        <w:spacing w:line="560" w:lineRule="exact"/>
        <w:ind w:firstLine="643"/>
        <w:rPr>
          <w:rFonts w:ascii="仿宋_GB2312" w:hAnsi="华文仿宋" w:eastAsia="仿宋_GB2312"/>
          <w:b/>
          <w:bCs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sz w:val="32"/>
          <w:szCs w:val="32"/>
        </w:rPr>
        <w:t>（四）创新研发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1、2018年度企业研发经费支出占销售收入的比重不得低于3%；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2、企业具有与主要产品相关的发明专利、外观设计专利、实用新型专利、软件著作产权数量等，其中制造业企业发明专利不得少于1项。</w:t>
      </w:r>
    </w:p>
    <w:p>
      <w:pPr>
        <w:spacing w:line="560" w:lineRule="exact"/>
        <w:ind w:firstLine="643" w:firstLineChars="200"/>
        <w:rPr>
          <w:rFonts w:ascii="仿宋_GB2312" w:hAnsi="华文仿宋" w:eastAsia="仿宋_GB2312"/>
          <w:b/>
          <w:bCs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sz w:val="32"/>
          <w:szCs w:val="32"/>
        </w:rPr>
        <w:t>（五）优先推荐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1、优先推荐的重点行业：电子信息技术产业、高端装备制造业、消费品业、具有县域经济特色的传统制造业；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2、优先推荐已入库培育的隐形冠军培育企业。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三、隐形冠军企业申报要求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隐形冠军企业采取限额申报，杭州、宁波、温州原则上不超过12家，湖州、嘉兴、绍兴、金华、台州不超过10家，衢州、舟山、丽水不超过5家。</w:t>
      </w:r>
    </w:p>
    <w:p>
      <w:pPr>
        <w:widowControl/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为鼓励培育不同规模的隐形冠军，各地推荐需兼顾不同规模的企业，原则上以推荐中型企业为主，其他按照附件2的分配比例进行推荐。不同规模的企业分开进行评审。</w:t>
      </w:r>
    </w:p>
    <w:p>
      <w:pPr>
        <w:widowControl/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隐形冠军企业实施动态管理，有效期为3年，到期后由省经信厅组织开展评估和复核。</w:t>
      </w:r>
    </w:p>
    <w:p>
      <w:pPr>
        <w:widowControl/>
        <w:numPr>
          <w:ilvl w:val="0"/>
          <w:numId w:val="2"/>
        </w:numPr>
        <w:autoSpaceDE w:val="0"/>
        <w:autoSpaceDN w:val="0"/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隐形冠军培育企业申报条件和要求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申报条件具体见附件1。培育企业推荐数量按照年初下达的入库任务数的120%推荐，其中销售收入在5000万元-4亿元之间的企业数量应不低于总推荐数量的60%。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申报隐形冠军但未通过评审的企业，纳入隐形冠军培育企业评审，企业无需再申报，不占推荐名额。</w:t>
      </w:r>
    </w:p>
    <w:p>
      <w:pPr>
        <w:widowControl/>
        <w:autoSpaceDE w:val="0"/>
        <w:autoSpaceDN w:val="0"/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五、工作要求</w:t>
      </w:r>
    </w:p>
    <w:p>
      <w:pPr>
        <w:widowControl/>
        <w:autoSpaceDE w:val="0"/>
        <w:autoSpaceDN w:val="0"/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申请企业请</w:t>
      </w:r>
      <w:r>
        <w:rPr>
          <w:rFonts w:hint="eastAsia" w:ascii="仿宋_GB2312" w:hAnsi="华文仿宋" w:eastAsia="仿宋_GB2312"/>
          <w:sz w:val="32"/>
          <w:szCs w:val="32"/>
        </w:rPr>
        <w:t>登录浙江省中小企业公共服务平台（http://www.96871.com.cn）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进行在线申请，县（市、区）、市经信局在线进行初审。隐形冠军企业申报需提供纸质申报材料（要求见附件5）一式两份，由各市统一汇总行文上报，上报</w:t>
      </w:r>
      <w:r>
        <w:rPr>
          <w:rFonts w:hint="eastAsia" w:ascii="仿宋_GB2312" w:hAnsi="华文仿宋" w:eastAsia="仿宋_GB2312"/>
          <w:sz w:val="32"/>
          <w:szCs w:val="32"/>
        </w:rPr>
        <w:t xml:space="preserve">截止时间为10月21日。  </w:t>
      </w:r>
    </w:p>
    <w:p>
      <w:pPr>
        <w:autoSpaceDN w:val="0"/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联系人：省经信厅中小企业与民营经济发展处 应红英，联系电话：0571-87059133；</w:t>
      </w:r>
    </w:p>
    <w:p>
      <w:pPr>
        <w:widowControl/>
        <w:spacing w:line="560" w:lineRule="exact"/>
        <w:ind w:firstLine="640"/>
        <w:rPr>
          <w:rFonts w:ascii="仿宋_GB2312" w:hAnsi="华文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省企业发展服务中心 杨思宝，联系电话：0571-85153236；</w:t>
      </w:r>
    </w:p>
    <w:p>
      <w:pPr>
        <w:autoSpaceDN w:val="0"/>
        <w:adjustRightInd w:val="0"/>
        <w:snapToGrid w:val="0"/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在线申报技术咨询电话：0571-87758256、87758257，QQ：10425012。</w:t>
      </w:r>
    </w:p>
    <w:p>
      <w:pPr>
        <w:autoSpaceDN w:val="0"/>
        <w:adjustRightInd w:val="0"/>
        <w:snapToGrid w:val="0"/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</w:p>
    <w:p>
      <w:pPr>
        <w:pStyle w:val="2"/>
        <w:ind w:firstLine="640"/>
        <w:jc w:val="left"/>
        <w:rPr>
          <w:rFonts w:ascii="仿宋_GB2312" w:hAnsi="华文仿宋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附件：1.浙江省</w:t>
      </w:r>
      <w:r>
        <w:rPr>
          <w:rFonts w:hint="eastAsia" w:ascii="仿宋_GB2312" w:hAnsi="华文仿宋" w:eastAsia="仿宋_GB2312" w:cs="Times New Roman"/>
          <w:sz w:val="32"/>
          <w:szCs w:val="32"/>
          <w:shd w:val="clear" w:color="auto" w:fill="FFFFFF"/>
        </w:rPr>
        <w:t>隐形冠军培育企业申报条件</w:t>
      </w:r>
    </w:p>
    <w:p>
      <w:pPr>
        <w:adjustRightInd w:val="0"/>
        <w:snapToGrid w:val="0"/>
        <w:spacing w:line="560" w:lineRule="exact"/>
        <w:ind w:firstLine="1600" w:firstLineChars="500"/>
        <w:rPr>
          <w:rFonts w:ascii="仿宋_GB2312" w:hAnsi="华文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2.2019年浙江省隐形冠军企业推荐分配表</w:t>
      </w:r>
    </w:p>
    <w:p>
      <w:pPr>
        <w:adjustRightInd w:val="0"/>
        <w:snapToGrid w:val="0"/>
        <w:spacing w:line="560" w:lineRule="exact"/>
        <w:ind w:firstLine="1600" w:firstLineChars="500"/>
        <w:rPr>
          <w:rFonts w:ascii="仿宋_GB2312" w:hAnsi="华文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3.浙江省隐形冠军（培育）企业申报表</w:t>
      </w:r>
    </w:p>
    <w:p>
      <w:pPr>
        <w:widowControl/>
        <w:spacing w:line="560" w:lineRule="exact"/>
        <w:ind w:firstLine="640"/>
        <w:rPr>
          <w:rFonts w:ascii="仿宋_GB2312" w:hAnsi="华文仿宋" w:eastAsia="仿宋_GB2312"/>
          <w:sz w:val="32"/>
          <w:szCs w:val="32"/>
          <w:shd w:val="clear" w:color="auto" w:fill="FFFFFF"/>
          <w:lang w:val="zh-CN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 xml:space="preserve">      4.</w:t>
      </w:r>
      <w:r>
        <w:rPr>
          <w:rFonts w:hint="eastAsia" w:ascii="仿宋_GB2312" w:hAnsi="华文仿宋" w:eastAsia="仿宋_GB2312"/>
          <w:sz w:val="32"/>
          <w:szCs w:val="32"/>
          <w:shd w:val="clear" w:color="auto" w:fill="FFFFFF"/>
          <w:lang w:val="zh-CN"/>
        </w:rPr>
        <w:t>浙江省隐形冠军企业综合评价表</w:t>
      </w:r>
    </w:p>
    <w:p>
      <w:pPr>
        <w:widowControl/>
        <w:spacing w:line="560" w:lineRule="exact"/>
        <w:ind w:firstLine="1600" w:firstLineChars="500"/>
        <w:rPr>
          <w:rFonts w:ascii="仿宋_GB2312" w:hAnsi="华文仿宋" w:eastAsia="仿宋_GB2312"/>
          <w:b/>
          <w:sz w:val="32"/>
          <w:szCs w:val="32"/>
          <w:lang w:val="zh-CN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5.浙江省隐形冠军企业</w:t>
      </w:r>
      <w:r>
        <w:rPr>
          <w:rFonts w:hint="eastAsia" w:ascii="仿宋_GB2312" w:hAnsi="华文仿宋" w:eastAsia="仿宋_GB2312"/>
          <w:sz w:val="32"/>
          <w:szCs w:val="32"/>
          <w:shd w:val="clear" w:color="auto" w:fill="FFFFFF"/>
          <w:lang w:val="zh-CN"/>
        </w:rPr>
        <w:t>申报资料明细表</w:t>
      </w:r>
    </w:p>
    <w:p>
      <w:pPr>
        <w:widowControl/>
        <w:spacing w:line="560" w:lineRule="exact"/>
        <w:ind w:firstLine="640"/>
        <w:rPr>
          <w:rFonts w:ascii="仿宋_GB2312" w:hAnsi="华文仿宋" w:eastAsia="仿宋_GB2312"/>
          <w:sz w:val="32"/>
          <w:szCs w:val="32"/>
          <w:shd w:val="clear" w:color="auto" w:fill="FFFFFF"/>
        </w:rPr>
      </w:pPr>
    </w:p>
    <w:p>
      <w:pPr>
        <w:widowControl/>
        <w:tabs>
          <w:tab w:val="left" w:pos="3580"/>
        </w:tabs>
        <w:spacing w:line="560" w:lineRule="exact"/>
        <w:ind w:firstLine="640"/>
        <w:rPr>
          <w:rFonts w:ascii="仿宋_GB2312" w:hAnsi="华文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ab/>
      </w:r>
    </w:p>
    <w:p>
      <w:pPr>
        <w:widowControl/>
        <w:spacing w:line="560" w:lineRule="exact"/>
        <w:ind w:firstLine="4198" w:firstLineChars="1312"/>
        <w:rPr>
          <w:rFonts w:ascii="仿宋_GB2312" w:hAnsi="华文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浙江省经济和信息化厅</w:t>
      </w:r>
    </w:p>
    <w:p>
      <w:pPr>
        <w:widowControl/>
        <w:spacing w:line="560" w:lineRule="exact"/>
        <w:ind w:firstLine="640"/>
        <w:rPr>
          <w:rFonts w:ascii="仿宋_GB2312" w:hAnsi="华文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 xml:space="preserve">                         2019年9月26日</w:t>
      </w:r>
    </w:p>
    <w:p>
      <w:pPr>
        <w:widowControl/>
        <w:spacing w:line="560" w:lineRule="exact"/>
        <w:rPr>
          <w:rFonts w:ascii="仿宋_GB2312" w:hAnsi="华文仿宋" w:eastAsia="仿宋_GB2312"/>
          <w:kern w:val="0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br w:type="page"/>
      </w:r>
      <w:r>
        <w:rPr>
          <w:rFonts w:hint="eastAsia" w:ascii="仿宋_GB2312" w:hAnsi="华文仿宋" w:eastAsia="仿宋_GB2312"/>
          <w:kern w:val="0"/>
          <w:sz w:val="32"/>
          <w:szCs w:val="32"/>
        </w:rPr>
        <w:t>附件1</w:t>
      </w:r>
    </w:p>
    <w:p>
      <w:pPr>
        <w:pStyle w:val="2"/>
        <w:ind w:firstLine="0" w:firstLineChars="0"/>
        <w:jc w:val="center"/>
        <w:rPr>
          <w:rFonts w:ascii="方正小标宋简体" w:hAnsi="华文仿宋" w:eastAsia="方正小标宋简体" w:cs="方正小标宋简体"/>
          <w:sz w:val="44"/>
          <w:szCs w:val="44"/>
        </w:rPr>
      </w:pPr>
      <w:r>
        <w:rPr>
          <w:rFonts w:hint="eastAsia" w:ascii="方正小标宋简体" w:hAnsi="华文仿宋" w:eastAsia="方正小标宋简体" w:cs="方正小标宋简体"/>
          <w:sz w:val="44"/>
          <w:szCs w:val="44"/>
        </w:rPr>
        <w:t>浙江省隐形冠军培育企业申报条件</w:t>
      </w:r>
    </w:p>
    <w:p>
      <w:pPr>
        <w:pStyle w:val="2"/>
        <w:ind w:firstLine="640"/>
        <w:rPr>
          <w:rFonts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1、2018</w:t>
      </w:r>
      <w:r>
        <w:rPr>
          <w:rFonts w:hint="eastAsia" w:ascii="仿宋_GB2312" w:hAnsi="华文仿宋" w:eastAsia="仿宋_GB2312" w:cs="Times New Roman"/>
          <w:sz w:val="32"/>
          <w:szCs w:val="32"/>
          <w:lang w:val="zh-CN"/>
        </w:rPr>
        <w:t>年度企业营业收入在</w:t>
      </w:r>
      <w:r>
        <w:rPr>
          <w:rFonts w:hint="eastAsia" w:ascii="仿宋_GB2312" w:hAnsi="华文仿宋" w:eastAsia="仿宋_GB2312"/>
          <w:sz w:val="32"/>
          <w:szCs w:val="32"/>
        </w:rPr>
        <w:t>5000万元至20</w:t>
      </w:r>
      <w:r>
        <w:rPr>
          <w:rFonts w:hint="eastAsia" w:ascii="仿宋_GB2312" w:hAnsi="华文仿宋" w:eastAsia="仿宋_GB2312" w:cs="Times New Roman"/>
          <w:sz w:val="32"/>
          <w:szCs w:val="32"/>
        </w:rPr>
        <w:t>亿元之间。</w:t>
      </w:r>
    </w:p>
    <w:p>
      <w:pPr>
        <w:pStyle w:val="2"/>
        <w:ind w:firstLine="640"/>
        <w:rPr>
          <w:rFonts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2、属于国家和省重点鼓励发展的产业，属于《中国制造2025浙江行动纲要》明确的11类重点发展产业或浙江省“</w:t>
      </w:r>
      <w:r>
        <w:rPr>
          <w:rFonts w:hint="eastAsia" w:ascii="仿宋_GB2312" w:hAnsi="华文仿宋" w:eastAsia="仿宋_GB2312" w:cs="Times New Roman"/>
          <w:sz w:val="32"/>
          <w:szCs w:val="32"/>
          <w:lang w:val="zh-CN"/>
        </w:rPr>
        <w:t>传统制造业改造提升”</w:t>
      </w:r>
      <w:r>
        <w:rPr>
          <w:rFonts w:hint="eastAsia" w:ascii="仿宋_GB2312" w:hAnsi="华文仿宋" w:eastAsia="仿宋_GB2312" w:cs="Times New Roman"/>
          <w:sz w:val="32"/>
          <w:szCs w:val="32"/>
        </w:rPr>
        <w:t>重点行业。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3、长期专注产业链中某个环节或某个产品，</w:t>
      </w:r>
      <w:r>
        <w:rPr>
          <w:rFonts w:hint="eastAsia" w:ascii="仿宋_GB2312" w:hAnsi="华文仿宋" w:eastAsia="仿宋_GB2312"/>
          <w:sz w:val="32"/>
          <w:szCs w:val="32"/>
        </w:rPr>
        <w:t>企业主导产品在国内细分行业中拥有较高的市场份额，或是与大型企业形成紧密的协作配套关系。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4、具有持续创新能力。建有专门的研发机构，配有一定数量的研发设计人员，研发投入高于同行业平均水平</w:t>
      </w: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，拥有自主知识产权的产品或技术</w:t>
      </w:r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5、注重特色化生产和经营，</w:t>
      </w: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t>采用独特的工艺、技术、配方或特殊原料进行生产（或提供特色化的销售服务），企业有自主品牌。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6、能够提供高品质的产品和服务，企业产品质量高于国家标准（包括行业标准、团体标准）。开展精益生产和精益管理，企业内部建立较为先进的质量管理控制体系，采用信息化手段提高企业生产管理水平。</w:t>
      </w:r>
    </w:p>
    <w:p>
      <w:pPr>
        <w:spacing w:line="560" w:lineRule="exact"/>
        <w:ind w:firstLine="64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7、企业</w:t>
      </w:r>
      <w:r>
        <w:rPr>
          <w:rFonts w:hint="eastAsia" w:ascii="仿宋_GB2312" w:hAnsi="华文仿宋" w:eastAsia="仿宋_GB2312"/>
          <w:sz w:val="32"/>
          <w:szCs w:val="32"/>
          <w:lang w:val="zh-CN"/>
        </w:rPr>
        <w:t>守法经营，照章纳税。近三年内无</w:t>
      </w:r>
      <w:r>
        <w:rPr>
          <w:rFonts w:hint="eastAsia" w:ascii="仿宋_GB2312" w:hAnsi="华文仿宋" w:eastAsia="仿宋_GB2312"/>
          <w:sz w:val="32"/>
          <w:szCs w:val="32"/>
        </w:rPr>
        <w:t>重大安全生产、质量、环保事故发生和不良诚信记录。</w:t>
      </w:r>
    </w:p>
    <w:p>
      <w:pPr>
        <w:widowControl/>
        <w:spacing w:line="560" w:lineRule="exact"/>
        <w:rPr>
          <w:rFonts w:ascii="黑体" w:hAnsi="黑体" w:eastAsia="黑体"/>
          <w:kern w:val="0"/>
        </w:rPr>
      </w:pPr>
      <w:r>
        <w:rPr>
          <w:rFonts w:hint="eastAsia" w:ascii="仿宋_GB2312" w:hAnsi="华文仿宋" w:eastAsia="仿宋_GB2312"/>
          <w:sz w:val="32"/>
          <w:szCs w:val="32"/>
          <w:shd w:val="clear" w:color="auto" w:fill="FFFFFF"/>
        </w:rPr>
        <w:br w:type="page"/>
      </w:r>
      <w:r>
        <w:rPr>
          <w:rFonts w:hint="eastAsia" w:ascii="黑体" w:hAnsi="黑体" w:eastAsia="黑体"/>
          <w:kern w:val="0"/>
        </w:rPr>
        <w:t>附件2</w:t>
      </w:r>
    </w:p>
    <w:p>
      <w:pPr>
        <w:adjustRightInd w:val="0"/>
        <w:snapToGrid w:val="0"/>
        <w:spacing w:line="480" w:lineRule="exact"/>
        <w:ind w:firstLine="640"/>
        <w:jc w:val="center"/>
        <w:rPr>
          <w:rFonts w:ascii="仿宋" w:hAnsi="仿宋" w:eastAsia="仿宋"/>
          <w:szCs w:val="32"/>
          <w:shd w:val="clear" w:color="auto" w:fill="FFFFFF"/>
        </w:rPr>
      </w:pPr>
    </w:p>
    <w:p>
      <w:pPr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2019年浙江省隐形冠军企业推荐分配表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/>
          <w:kern w:val="0"/>
          <w:sz w:val="36"/>
          <w:szCs w:val="36"/>
        </w:rPr>
      </w:pPr>
    </w:p>
    <w:tbl>
      <w:tblPr>
        <w:tblStyle w:val="6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991"/>
        <w:gridCol w:w="2142"/>
        <w:gridCol w:w="230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restart"/>
            <w:vAlign w:val="center"/>
          </w:tcPr>
          <w:p>
            <w:pPr>
              <w:ind w:firstLine="640"/>
            </w:pPr>
          </w:p>
          <w:p>
            <w:pPr>
              <w:ind w:firstLine="640"/>
            </w:pPr>
          </w:p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 w:cs="仿宋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 区</w:t>
            </w:r>
          </w:p>
        </w:tc>
        <w:tc>
          <w:tcPr>
            <w:tcW w:w="7598" w:type="dxa"/>
            <w:gridSpan w:val="4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隐形冠军企业推荐分配数量（家）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35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>
            <w:pPr>
              <w:ind w:firstLine="640"/>
            </w:pPr>
          </w:p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总 数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企业营业收入5000万元≤X≤4亿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企业营业收入4亿元&lt;X≤10亿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企业营业收入10亿元&lt;X≤20亿</w:t>
            </w:r>
          </w:p>
          <w:p>
            <w:pPr>
              <w:adjustRightInd w:val="0"/>
              <w:snapToGrid w:val="0"/>
              <w:spacing w:line="48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4-5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4-5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4-5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3-4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嘉兴市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3-4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绍兴市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3-4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金华市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3-4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衢州市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1-2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舟山市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1-2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台州市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3-4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丽水市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280" w:firstLineChars="1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142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305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1-2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480" w:lineRule="exact"/>
              <w:ind w:firstLine="840" w:firstLineChars="3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0-1</w:t>
            </w:r>
          </w:p>
        </w:tc>
      </w:tr>
    </w:tbl>
    <w:p>
      <w:pPr>
        <w:adjustRightInd w:val="0"/>
        <w:snapToGrid w:val="0"/>
        <w:spacing w:line="0" w:lineRule="atLeast"/>
        <w:jc w:val="left"/>
        <w:rPr>
          <w:rFonts w:ascii="黑体" w:hAnsi="黑体" w:eastAsia="黑体"/>
          <w:kern w:val="0"/>
        </w:rPr>
      </w:pPr>
      <w:r>
        <w:rPr>
          <w:rFonts w:hint="eastAsia" w:ascii="仿宋" w:hAnsi="仿宋" w:eastAsia="仿宋"/>
          <w:szCs w:val="32"/>
          <w:shd w:val="clear" w:color="auto" w:fill="FFFFFF"/>
        </w:rPr>
        <w:br w:type="page"/>
      </w:r>
      <w:r>
        <w:rPr>
          <w:rFonts w:hint="eastAsia" w:ascii="黑体" w:hAnsi="黑体" w:eastAsia="黑体"/>
          <w:kern w:val="0"/>
        </w:rPr>
        <w:t>附件3</w:t>
      </w:r>
    </w:p>
    <w:p>
      <w:pPr>
        <w:adjustRightInd w:val="0"/>
        <w:snapToGrid w:val="0"/>
        <w:spacing w:line="480" w:lineRule="exact"/>
        <w:rPr>
          <w:rFonts w:ascii="黑体" w:hAnsi="黑体"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浙江省隐形冠军（培育）企业申报表</w:t>
      </w:r>
    </w:p>
    <w:p>
      <w:pPr>
        <w:adjustRightInd w:val="0"/>
        <w:snapToGrid w:val="0"/>
        <w:spacing w:line="480" w:lineRule="exact"/>
        <w:jc w:val="center"/>
        <w:rPr>
          <w:rFonts w:ascii="黑体" w:hAnsi="黑体" w:eastAsia="黑体"/>
          <w:kern w:val="0"/>
          <w:sz w:val="36"/>
          <w:szCs w:val="36"/>
        </w:rPr>
      </w:pPr>
    </w:p>
    <w:p>
      <w:pPr>
        <w:adjustRightInd w:val="0"/>
        <w:snapToGrid w:val="0"/>
        <w:spacing w:line="0" w:lineRule="atLeast"/>
        <w:ind w:firstLine="48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□申报</w:t>
      </w:r>
      <w:r>
        <w:rPr>
          <w:rFonts w:hint="eastAsia" w:ascii="仿宋" w:hAnsi="仿宋" w:eastAsia="仿宋" w:cs="仿宋"/>
          <w:kern w:val="0"/>
          <w:sz w:val="24"/>
          <w:szCs w:val="36"/>
        </w:rPr>
        <w:t>隐形冠军培育企业</w:t>
      </w:r>
      <w:r>
        <w:rPr>
          <w:rFonts w:hint="eastAsia" w:ascii="仿宋" w:hAnsi="仿宋" w:eastAsia="仿宋" w:cs="仿宋"/>
          <w:kern w:val="0"/>
          <w:sz w:val="24"/>
        </w:rPr>
        <w:t xml:space="preserve">   □申报</w:t>
      </w:r>
      <w:r>
        <w:rPr>
          <w:rFonts w:hint="eastAsia" w:ascii="仿宋" w:hAnsi="仿宋" w:eastAsia="仿宋" w:cs="仿宋"/>
          <w:kern w:val="0"/>
          <w:sz w:val="24"/>
          <w:szCs w:val="36"/>
        </w:rPr>
        <w:t>隐形冠军企业　　</w:t>
      </w:r>
      <w:r>
        <w:rPr>
          <w:rFonts w:hint="eastAsia" w:ascii="仿宋" w:hAnsi="仿宋" w:eastAsia="仿宋" w:cs="仿宋"/>
          <w:kern w:val="0"/>
          <w:sz w:val="24"/>
        </w:rPr>
        <w:t xml:space="preserve">（注：以上只能选择一项）               </w:t>
      </w:r>
    </w:p>
    <w:tbl>
      <w:tblPr>
        <w:tblStyle w:val="6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352"/>
        <w:gridCol w:w="1394"/>
        <w:gridCol w:w="861"/>
        <w:gridCol w:w="569"/>
        <w:gridCol w:w="855"/>
        <w:gridCol w:w="3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949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ind w:firstLine="56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</w:rPr>
              <w:t>一、企业基础信息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（加盖公章）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ind w:right="-168" w:rightChars="-80"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归口行业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成立时间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所在县（市、区）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联系地址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注册资本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银行信用等级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法人代表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widowControl/>
              <w:spacing w:line="0" w:lineRule="atLeast"/>
              <w:ind w:firstLine="464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联系方式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联系人及职务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widowControl/>
              <w:spacing w:line="0" w:lineRule="atLeast"/>
              <w:ind w:firstLine="464"/>
              <w:jc w:val="center"/>
              <w:rPr>
                <w:rFonts w:ascii="仿宋" w:hAnsi="仿宋" w:eastAsia="仿宋" w:cs="仿宋"/>
                <w:spacing w:val="-4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联系方式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  真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ind w:firstLine="464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 w:val="24"/>
              </w:rPr>
              <w:t>主要产品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主要产品分别在省内、国内和国际市场的份额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专利（或专有技术、软件著作权）情况及数量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产品执行标准情况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5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240" w:firstLineChars="1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产品认证情况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管理体系认证情况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产品是否属于“中国制造2025浙江行动纲要” 重点发展的11个产业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□机器人与智能装备 □新能源汽车与现代交通装备  □高端船舶与海洋工程装备 □新能源和节能环保装备  □通信网络与智能终端  □专用集成电路与新型元器件  □物联网、云计算、大数据和工业软件  □新材料  □生物医药和高性能医疗器械  □绿色石油化工  □时尚轻纺业  □以上都不是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是否属于优先推荐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□电子信息技术行业 □高端装备制造业　□消费品业　□具有县域经济特色的传统制造业　□已入库培育企业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企业近三年获得省级以上荣誉情况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9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ind w:firstLine="482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二、最近三年基本数据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主要经济指标（单位：人、万元）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2016年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2017年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同比增幅%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2018年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同比增幅%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1.资产总额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2.主营业务收入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3.主营业务税金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4.利润总额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40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5.从业人员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/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40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6.资产负债率(%)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/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40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7.研发经费总量（万元）及占主营业务收入比重（%）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/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/</w:t>
            </w:r>
          </w:p>
        </w:tc>
      </w:tr>
    </w:tbl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</w:p>
    <w:p>
      <w:pPr>
        <w:adjustRightInd w:val="0"/>
        <w:snapToGrid w:val="0"/>
        <w:spacing w:line="0" w:lineRule="atLeast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附件4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浙江省隐形冠军企业综合评价表</w:t>
      </w:r>
    </w:p>
    <w:tbl>
      <w:tblPr>
        <w:tblStyle w:val="6"/>
        <w:tblW w:w="89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109"/>
        <w:gridCol w:w="1505"/>
        <w:gridCol w:w="4244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b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zh-CN"/>
              </w:rPr>
              <w:t>序号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211" w:firstLineChars="100"/>
              <w:rPr>
                <w:rFonts w:ascii="仿宋" w:hAnsi="仿宋" w:eastAsia="仿宋" w:cs="仿宋"/>
                <w:b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zh-CN"/>
              </w:rPr>
              <w:t>评价</w:t>
            </w:r>
          </w:p>
          <w:p>
            <w:pPr>
              <w:autoSpaceDE w:val="0"/>
              <w:autoSpaceDN w:val="0"/>
              <w:spacing w:line="220" w:lineRule="exact"/>
              <w:ind w:firstLine="211" w:firstLineChars="100"/>
              <w:rPr>
                <w:rFonts w:ascii="仿宋" w:hAnsi="仿宋" w:eastAsia="仿宋" w:cs="仿宋"/>
                <w:b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zh-CN"/>
              </w:rPr>
              <w:t>指标</w:t>
            </w:r>
          </w:p>
        </w:tc>
        <w:tc>
          <w:tcPr>
            <w:tcW w:w="57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1897" w:firstLineChars="900"/>
              <w:rPr>
                <w:rFonts w:ascii="仿宋" w:hAnsi="仿宋" w:eastAsia="仿宋" w:cs="仿宋"/>
                <w:b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zh-CN"/>
              </w:rPr>
              <w:t>评分要求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211" w:firstLineChars="100"/>
              <w:rPr>
                <w:rFonts w:ascii="仿宋" w:hAnsi="仿宋" w:eastAsia="仿宋" w:cs="仿宋"/>
                <w:b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zh-CN"/>
              </w:rPr>
              <w:t>企业自评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产品市场占有率（</w:t>
            </w:r>
            <w:r>
              <w:rPr>
                <w:rFonts w:hint="eastAsia" w:ascii="仿宋" w:hAnsi="仿宋" w:eastAsia="仿宋" w:cs="仿宋"/>
                <w:szCs w:val="21"/>
              </w:rPr>
              <w:t>20分）</w:t>
            </w:r>
          </w:p>
        </w:tc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细分市场排名（</w:t>
            </w: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</w:t>
            </w:r>
          </w:p>
        </w:tc>
        <w:tc>
          <w:tcPr>
            <w:tcW w:w="42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国际前</w:t>
            </w:r>
            <w:r>
              <w:rPr>
                <w:rFonts w:hint="eastAsia" w:ascii="仿宋" w:hAnsi="仿宋" w:eastAsia="仿宋" w:cs="仿宋"/>
                <w:szCs w:val="21"/>
              </w:rPr>
              <w:t>10或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国内第1名（</w:t>
            </w: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国内前3名（</w:t>
            </w:r>
            <w:r>
              <w:rPr>
                <w:rFonts w:hint="eastAsia" w:ascii="仿宋" w:hAnsi="仿宋" w:eastAsia="仿宋" w:cs="仿宋"/>
                <w:szCs w:val="21"/>
              </w:rPr>
              <w:t>15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国内前5名或省内第1名（</w:t>
            </w:r>
            <w:r>
              <w:rPr>
                <w:rFonts w:hint="eastAsia" w:ascii="仿宋" w:hAnsi="仿宋" w:eastAsia="仿宋" w:cs="仿宋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省内前</w:t>
            </w: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名（</w:t>
            </w:r>
            <w:r>
              <w:rPr>
                <w:rFonts w:hint="eastAsia"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分）。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63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10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产品创新性（</w:t>
            </w:r>
            <w:r>
              <w:rPr>
                <w:rFonts w:hint="eastAsia" w:ascii="仿宋" w:hAnsi="仿宋" w:eastAsia="仿宋" w:cs="仿宋"/>
                <w:szCs w:val="21"/>
              </w:rPr>
              <w:t>30分）</w:t>
            </w:r>
          </w:p>
        </w:tc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产品创新性（</w:t>
            </w:r>
            <w:r>
              <w:rPr>
                <w:rFonts w:hint="eastAsia" w:ascii="仿宋" w:hAnsi="仿宋" w:eastAsia="仿宋" w:cs="仿宋"/>
                <w:szCs w:val="21"/>
              </w:rPr>
              <w:t>10分）</w:t>
            </w:r>
          </w:p>
        </w:tc>
        <w:tc>
          <w:tcPr>
            <w:tcW w:w="42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产品具有原研创性，国内首台套；或替代进口，填补国内空白（</w:t>
            </w:r>
            <w:r>
              <w:rPr>
                <w:rFonts w:hint="eastAsia" w:ascii="仿宋" w:hAnsi="仿宋" w:eastAsia="仿宋" w:cs="仿宋"/>
                <w:szCs w:val="21"/>
              </w:rPr>
              <w:t>10分）；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2、省内首台套或列入“浙江精品制造”（5分）。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63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420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0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产品主要性能和指标（</w:t>
            </w:r>
            <w:r>
              <w:rPr>
                <w:rFonts w:hint="eastAsia" w:ascii="仿宋" w:hAnsi="仿宋" w:eastAsia="仿宋" w:cs="仿宋"/>
                <w:szCs w:val="21"/>
              </w:rPr>
              <w:t>10分）</w:t>
            </w:r>
          </w:p>
        </w:tc>
        <w:tc>
          <w:tcPr>
            <w:tcW w:w="42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1、国际领先（10分）；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2、国际先进（5分）；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3、国内领先（2分）。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63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420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0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主导与参与制定产品标准（</w:t>
            </w:r>
            <w:r>
              <w:rPr>
                <w:rFonts w:hint="eastAsia" w:ascii="仿宋" w:hAnsi="仿宋" w:eastAsia="仿宋" w:cs="仿宋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</w:t>
            </w:r>
          </w:p>
        </w:tc>
        <w:tc>
          <w:tcPr>
            <w:tcW w:w="42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1、主导或参与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国际标准（</w:t>
            </w:r>
            <w:r>
              <w:rPr>
                <w:rFonts w:hint="eastAsia" w:ascii="仿宋" w:hAnsi="仿宋" w:eastAsia="仿宋" w:cs="仿宋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主导或参与国家标准（</w:t>
            </w:r>
            <w:r>
              <w:rPr>
                <w:rFonts w:hint="eastAsia" w:ascii="仿宋" w:hAnsi="仿宋" w:eastAsia="仿宋" w:cs="仿宋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主导或参与行业标准（</w:t>
            </w: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分）。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63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10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生产技术水平（</w:t>
            </w:r>
            <w:r>
              <w:rPr>
                <w:rFonts w:hint="eastAsia" w:ascii="仿宋" w:hAnsi="仿宋" w:eastAsia="仿宋" w:cs="仿宋"/>
                <w:szCs w:val="21"/>
              </w:rPr>
              <w:t>20分）</w:t>
            </w:r>
          </w:p>
        </w:tc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工艺水平（</w:t>
            </w:r>
            <w:r>
              <w:rPr>
                <w:rFonts w:hint="eastAsia" w:ascii="仿宋" w:hAnsi="仿宋" w:eastAsia="仿宋" w:cs="仿宋"/>
                <w:szCs w:val="21"/>
              </w:rPr>
              <w:t>10分）</w:t>
            </w:r>
          </w:p>
        </w:tc>
        <w:tc>
          <w:tcPr>
            <w:tcW w:w="42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1、生产工艺水平先进，加工精度高，达到国际先进水平（10分）；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2、生产工艺水平达到国内领先水平（5分）。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63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420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0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装备水平（</w:t>
            </w:r>
            <w:r>
              <w:rPr>
                <w:rFonts w:hint="eastAsia" w:ascii="仿宋" w:hAnsi="仿宋" w:eastAsia="仿宋" w:cs="仿宋"/>
                <w:szCs w:val="21"/>
              </w:rPr>
              <w:t>10分）</w:t>
            </w:r>
          </w:p>
        </w:tc>
        <w:tc>
          <w:tcPr>
            <w:tcW w:w="42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生产装备自动化、智能力水平高，企业人均劳动生产率高于同行业平均水平（10分）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6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  <w:p>
            <w:pPr>
              <w:autoSpaceDE w:val="0"/>
              <w:autoSpaceDN w:val="0"/>
              <w:spacing w:line="220" w:lineRule="exact"/>
              <w:ind w:firstLine="420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0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企业持续创新能力（</w:t>
            </w: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</w:t>
            </w:r>
          </w:p>
        </w:tc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近3年研发经费占主营业务收入比重（</w:t>
            </w:r>
            <w:r>
              <w:rPr>
                <w:rFonts w:hint="eastAsia" w:ascii="仿宋" w:hAnsi="仿宋" w:eastAsia="仿宋" w:cs="仿宋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</w:t>
            </w:r>
          </w:p>
        </w:tc>
        <w:tc>
          <w:tcPr>
            <w:tcW w:w="424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持续</w:t>
            </w:r>
            <w:r>
              <w:rPr>
                <w:rFonts w:hint="eastAsia"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%以上（</w:t>
            </w:r>
            <w:r>
              <w:rPr>
                <w:rFonts w:hint="eastAsia" w:ascii="仿宋" w:hAnsi="仿宋" w:eastAsia="仿宋" w:cs="仿宋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持续5%以上（</w:t>
            </w:r>
            <w:r>
              <w:rPr>
                <w:rFonts w:hint="eastAsia"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持续3%以上（</w:t>
            </w:r>
            <w:r>
              <w:rPr>
                <w:rFonts w:hint="eastAsia" w:ascii="仿宋" w:hAnsi="仿宋" w:eastAsia="仿宋" w:cs="仿宋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分）。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6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420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0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企业研发机构建设（</w:t>
            </w:r>
            <w:r>
              <w:rPr>
                <w:rFonts w:hint="eastAsia" w:ascii="仿宋" w:hAnsi="仿宋" w:eastAsia="仿宋" w:cs="仿宋"/>
                <w:szCs w:val="21"/>
              </w:rPr>
              <w:t>10分）</w:t>
            </w:r>
          </w:p>
        </w:tc>
        <w:tc>
          <w:tcPr>
            <w:tcW w:w="424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1、建有省级及以上企业技术中心、研发中心等研究机构；（10分）；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2、建有市级企业技术中心、研发中心、院士专家工作站、博士后工作站等研究机构（5分）。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1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企业基础建设（</w:t>
            </w:r>
            <w:r>
              <w:rPr>
                <w:rFonts w:hint="eastAsia" w:ascii="仿宋" w:hAnsi="仿宋" w:eastAsia="仿宋" w:cs="仿宋"/>
                <w:szCs w:val="21"/>
              </w:rPr>
              <w:t>10分）</w:t>
            </w:r>
          </w:p>
        </w:tc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企业管理（5分）</w:t>
            </w:r>
          </w:p>
        </w:tc>
        <w:tc>
          <w:tcPr>
            <w:tcW w:w="424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开展精益管理，有先进完善的质量管理体系和信息化体系（</w:t>
            </w:r>
            <w:r>
              <w:rPr>
                <w:rFonts w:hint="eastAsia" w:ascii="仿宋" w:hAnsi="仿宋" w:eastAsia="仿宋" w:cs="仿宋"/>
                <w:szCs w:val="21"/>
              </w:rPr>
              <w:t>3分）；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2、运用ERP、MES、CRM等其他管理工具(2分）。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420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109" w:type="dxa"/>
            <w:vMerge w:val="continue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国际化布局（5分）</w:t>
            </w:r>
          </w:p>
        </w:tc>
        <w:tc>
          <w:tcPr>
            <w:tcW w:w="42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1、产品已有大量出口，企业有清晰明确的国际化战略和国际化营销网络，未来出口将有较大幅度增长（5分）；</w:t>
            </w:r>
          </w:p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2、产品尚无出口或少量出口，但企业未来有清晰明确的国际化战略（2分）。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附加分（</w:t>
            </w:r>
            <w:r>
              <w:rPr>
                <w:rFonts w:hint="eastAsia" w:ascii="仿宋" w:hAnsi="仿宋" w:eastAsia="仿宋" w:cs="仿宋"/>
                <w:szCs w:val="21"/>
              </w:rPr>
              <w:t>5分）</w:t>
            </w:r>
          </w:p>
        </w:tc>
        <w:tc>
          <w:tcPr>
            <w:tcW w:w="150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入库培育（5分）</w:t>
            </w:r>
          </w:p>
        </w:tc>
        <w:tc>
          <w:tcPr>
            <w:tcW w:w="424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已是入库培育企业且正常填报入库企业信息（5分）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spacing w:line="220" w:lineRule="exact"/>
              <w:ind w:firstLine="420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</w:tbl>
    <w:p>
      <w:pPr>
        <w:rPr>
          <w:rFonts w:ascii="黑体" w:hAnsi="黑体" w:eastAsia="黑体"/>
          <w:kern w:val="0"/>
        </w:rPr>
      </w:pPr>
      <w:r>
        <w:rPr>
          <w:szCs w:val="21"/>
        </w:rPr>
        <w:br w:type="page"/>
      </w:r>
      <w:r>
        <w:rPr>
          <w:rFonts w:hint="eastAsia" w:ascii="黑体" w:hAnsi="黑体" w:eastAsia="黑体"/>
          <w:kern w:val="0"/>
        </w:rPr>
        <w:t>附件5</w:t>
      </w:r>
    </w:p>
    <w:p>
      <w:pPr>
        <w:rPr>
          <w:rFonts w:ascii="黑体" w:hAnsi="黑体" w:eastAsia="黑体"/>
          <w:kern w:val="0"/>
        </w:rPr>
      </w:pPr>
    </w:p>
    <w:p>
      <w:pPr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浙江省隐形冠军企业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申报资料明细表</w:t>
      </w:r>
    </w:p>
    <w:p>
      <w:pPr>
        <w:autoSpaceDE w:val="0"/>
        <w:autoSpaceDN w:val="0"/>
        <w:spacing w:line="360" w:lineRule="exact"/>
        <w:jc w:val="center"/>
        <w:rPr>
          <w:rFonts w:ascii="楷体" w:hAnsi="楷体" w:eastAsia="楷体"/>
          <w:sz w:val="36"/>
          <w:szCs w:val="30"/>
          <w:lang w:val="zh-CN"/>
        </w:rPr>
      </w:pPr>
    </w:p>
    <w:tbl>
      <w:tblPr>
        <w:tblStyle w:val="6"/>
        <w:tblpPr w:leftFromText="180" w:rightFromText="180" w:vertAnchor="text" w:tblpY="1"/>
        <w:tblOverlap w:val="never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8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资料名称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浙江省隐形冠军（培育）企业申报表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浙江省隐形冠军企业综合评价表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3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浙江省隐形冠企业申报书</w:t>
            </w:r>
          </w:p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（内容包括但不限于：企业基本情况介绍、主要产品及市场规模、生产和质量管理和发展战略等。）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4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细分行业排名证明（省级及以上行业权威机构、专业期刊评选或主流新闻媒体，2016-2018年三年间的任何一年都可以）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5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企业法人营业执照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6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 xml:space="preserve">银行信用等级证明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7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相关专利（或专有技术、软件著作权）证书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8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有关荣誉证书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9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纳税证明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2016-2018年度会计报表（资产负债表、现金流量表、损益表）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7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综合评价各项指标依据</w:t>
            </w:r>
          </w:p>
        </w:tc>
      </w:tr>
    </w:tbl>
    <w:p>
      <w:pPr>
        <w:autoSpaceDE w:val="0"/>
        <w:autoSpaceDN w:val="0"/>
        <w:spacing w:line="360" w:lineRule="auto"/>
        <w:ind w:firstLine="56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备注：1、证明文件必须真实有效；2、企业纳税证明、银行信用等级等证明材料可由当地经信部门统一出具。</w:t>
      </w:r>
    </w:p>
    <w:p>
      <w:pPr>
        <w:pStyle w:val="9"/>
        <w:spacing w:line="540" w:lineRule="exact"/>
        <w:ind w:right="62"/>
        <w:rPr>
          <w:b/>
        </w:rPr>
      </w:pPr>
    </w:p>
    <w:p>
      <w:pPr>
        <w:pStyle w:val="9"/>
        <w:spacing w:line="540" w:lineRule="exact"/>
        <w:ind w:right="62"/>
        <w:rPr>
          <w:b/>
        </w:rPr>
      </w:pPr>
      <w:r>
        <w:rPr>
          <w:b/>
        </w:rPr>
        <w:t>浙江行动纲要里的11类重点发展产业：</w:t>
      </w:r>
    </w:p>
    <w:p>
      <w:pPr>
        <w:pStyle w:val="9"/>
        <w:spacing w:line="540" w:lineRule="exact"/>
        <w:ind w:right="62"/>
      </w:pPr>
      <w:r>
        <w:t>1、机器人与智能装备</w:t>
      </w:r>
    </w:p>
    <w:p>
      <w:pPr>
        <w:pStyle w:val="9"/>
        <w:spacing w:line="540" w:lineRule="exact"/>
        <w:ind w:right="62"/>
      </w:pPr>
      <w:r>
        <w:t>2、新能源汽车与现代交通装备</w:t>
      </w:r>
    </w:p>
    <w:p>
      <w:pPr>
        <w:pStyle w:val="9"/>
        <w:spacing w:line="540" w:lineRule="exact"/>
        <w:ind w:right="62"/>
      </w:pPr>
      <w:r>
        <w:t>3、高端船舶与海洋工程装备</w:t>
      </w:r>
    </w:p>
    <w:p>
      <w:pPr>
        <w:pStyle w:val="9"/>
        <w:spacing w:line="540" w:lineRule="exact"/>
        <w:ind w:right="62"/>
      </w:pPr>
      <w:r>
        <w:t>4、新能源和节能环保装备</w:t>
      </w:r>
    </w:p>
    <w:p>
      <w:pPr>
        <w:pStyle w:val="9"/>
        <w:spacing w:line="540" w:lineRule="exact"/>
        <w:ind w:right="62"/>
      </w:pPr>
      <w:r>
        <w:t>5、通信网络与智能终端</w:t>
      </w:r>
    </w:p>
    <w:p>
      <w:pPr>
        <w:pStyle w:val="9"/>
        <w:spacing w:line="540" w:lineRule="exact"/>
        <w:ind w:right="62"/>
      </w:pPr>
      <w:r>
        <w:t>6、专用集成电路与新型元器件</w:t>
      </w:r>
    </w:p>
    <w:p>
      <w:pPr>
        <w:pStyle w:val="9"/>
        <w:spacing w:line="540" w:lineRule="exact"/>
        <w:ind w:right="62"/>
      </w:pPr>
      <w:r>
        <w:t>7、物联网、云计算、大数据和工业软件</w:t>
      </w:r>
    </w:p>
    <w:p>
      <w:pPr>
        <w:pStyle w:val="9"/>
        <w:spacing w:line="540" w:lineRule="exact"/>
        <w:ind w:right="62"/>
      </w:pPr>
      <w:r>
        <w:t>8、生物医药和高性能医疗器械</w:t>
      </w:r>
    </w:p>
    <w:p>
      <w:pPr>
        <w:pStyle w:val="9"/>
        <w:spacing w:line="540" w:lineRule="exact"/>
        <w:ind w:right="62"/>
      </w:pPr>
      <w:r>
        <w:t>9、新材料</w:t>
      </w:r>
    </w:p>
    <w:p>
      <w:pPr>
        <w:pStyle w:val="9"/>
        <w:spacing w:line="540" w:lineRule="exact"/>
        <w:ind w:right="62"/>
      </w:pPr>
      <w:r>
        <w:t>10、绿色石油化工</w:t>
      </w:r>
    </w:p>
    <w:p>
      <w:pPr>
        <w:pStyle w:val="9"/>
        <w:spacing w:line="540" w:lineRule="exact"/>
        <w:ind w:right="62"/>
      </w:pPr>
      <w:r>
        <w:t>11、时尚轻纺业</w:t>
      </w:r>
    </w:p>
    <w:p>
      <w:pPr>
        <w:pStyle w:val="9"/>
        <w:spacing w:line="540" w:lineRule="exact"/>
        <w:ind w:right="62"/>
        <w:rPr>
          <w:b/>
        </w:rPr>
      </w:pPr>
      <w:r>
        <w:rPr>
          <w:b/>
        </w:rPr>
        <w:t>省传统制造业改造提升10个重点行业：</w:t>
      </w:r>
    </w:p>
    <w:p>
      <w:pPr>
        <w:pStyle w:val="9"/>
        <w:spacing w:line="540" w:lineRule="exact"/>
        <w:ind w:right="62"/>
        <w:rPr>
          <w:rFonts w:ascii="仿宋_GB2312" w:hAnsi="仿宋" w:cs="仿宋"/>
          <w:szCs w:val="32"/>
        </w:rPr>
      </w:pPr>
      <w:r>
        <w:t> 1、纺织制造业，2、服装制造业，3、皮革制造业，4、化工制造业，5、化纤制造业，6、造纸制造业，7、橡胶和塑料制品制造业，8、非金属矿物制品制造业，9、有色金属加工制造业，10、农副食品加工制造业。</w:t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256540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</w:pPr>
                          <w:r>
                            <w:rPr>
                              <w:rStyle w:val="8"/>
                              <w:rFonts w:hint="eastAsia"/>
                              <w:sz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0.2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2b4TY9MAAAAH&#10;AQAADwAAAGRycy9kb3ducmV2LnhtbE2PwU7DMBBE70j8g7VI3KjdEIEV4vRQiQs3CkLqzY23cYS9&#10;jmw3Tf4ec4Ljzoxm3ra7xTs2Y0xjIAXbjQCG1Acz0qDg8+P1QQJLWZPRLhAqWDHBrru9aXVjwpXe&#10;cT7kgZUSSo1WYHOeGs5Tb9HrtAkTUvHOIXqdyxkHbqK+lnLveCXEE/d6pLJg9YR7i/334eIVPC9f&#10;AaeEezye5z7acZXubVXq/m4rXoBlXPJfGH7xCzp0hekULmQScwrKI1lBLWpgxa2kLMJJwWMla+Bd&#10;y//zdz9QSwMEFAAAAAgAh07iQEYQVhSwAQAAWQMAAA4AAABkcnMvZTJvRG9jLnhtbK1TzY7TMBC+&#10;I/EOlu802RxQFTVdgVaLkBAgLTyA69iNJf9pxm3SF4A34MSFO8/V52DsNN0FboiLM7/fzDcz2dxO&#10;zrKjAjTBd/xmVXOmvAy98fuOf/50/2LNGSbhe2GDVx0/KeS32+fPNmNsVROGYHsFjEA8tmPs+JBS&#10;bKsK5aCcwFWIypNTB3AikQr7qgcxErqzVVPXL6sxQB8hSIVI1rvZybcFX2sl0wetUSVmO069pfJC&#10;eXf5rbYb0e5BxMHISxviH7pwwngqeoW6E0mwA5i/oJyREDDotJLBVUFrI1XhQGxu6j/YPAwiqsKF&#10;hoPxOib8f7Dy/fEjMNN3vOHMC0crOn/7ev7+8/zjC2vyeMaILUU9RIpL0+sw0ZoXO5Ixs540uPwl&#10;Poz8NOjTdbhqSkzmpHWzXtfkkuRbFMKvHtMjYHqjgmNZ6DjQ9spQxfEdpjl0CcnVfLg31pYNWv+b&#10;gTBniyoncMnOTOaOs5Sm3XShtwv9idiNdAYd93SnnNm3nqacL2YRYBF2i3CIYPZDOalcHeOrQ6KW&#10;Sqe5wgxLDLNC+ytcL7eWD+SpXqIe/4jt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m+E2PTAAAA&#10;BwEAAA8AAAAAAAAAAQAgAAAAIgAAAGRycy9kb3ducmV2LnhtbFBLAQIUABQAAAAIAIdO4kBGEFYU&#10;sAEAAFk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</w:pPr>
                    <w:r>
                      <w:rPr>
                        <w:rStyle w:val="8"/>
                        <w:rFonts w:hint="eastAsia"/>
                        <w:sz w:val="3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sz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60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96026"/>
    <w:multiLevelType w:val="singleLevel"/>
    <w:tmpl w:val="84D9602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56501AF"/>
    <w:multiLevelType w:val="singleLevel"/>
    <w:tmpl w:val="956501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12"/>
    <w:rsid w:val="004A3E12"/>
    <w:rsid w:val="00796DBE"/>
    <w:rsid w:val="008C3129"/>
    <w:rsid w:val="00C11F43"/>
    <w:rsid w:val="00DA1470"/>
    <w:rsid w:val="00FA1423"/>
    <w:rsid w:val="6E3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spacing w:line="560" w:lineRule="exact"/>
      <w:ind w:firstLine="720" w:firstLineChars="200"/>
    </w:pPr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560" w:lineRule="exact"/>
      <w:ind w:firstLine="720" w:firstLineChars="20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720" w:firstLineChars="200"/>
      <w:jc w:val="center"/>
    </w:pPr>
    <w:rPr>
      <w:rFonts w:ascii="Times New Roman" w:hAnsi="Times New Roman" w:eastAsia="仿宋_GB2312" w:cs="Times New Roman"/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0"/>
    <w:qFormat/>
    <w:uiPriority w:val="0"/>
    <w:pPr>
      <w:snapToGrid w:val="0"/>
    </w:pPr>
    <w:rPr>
      <w:rFonts w:ascii="Times New Roman" w:hAnsi="Times New Roman" w:eastAsia="仿宋_GB2312" w:cs="Times New Roman"/>
      <w:kern w:val="0"/>
      <w:sz w:val="32"/>
      <w:szCs w:val="21"/>
      <w:lang w:val="en-US" w:eastAsia="zh-CN" w:bidi="ar-SA"/>
    </w:rPr>
  </w:style>
  <w:style w:type="character" w:customStyle="1" w:styleId="10">
    <w:name w:val="日期 Char"/>
    <w:basedOn w:val="7"/>
    <w:link w:val="3"/>
    <w:semiHidden/>
    <w:uiPriority w:val="99"/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741</Words>
  <Characters>4225</Characters>
  <Lines>35</Lines>
  <Paragraphs>9</Paragraphs>
  <TotalTime>63</TotalTime>
  <ScaleCrop>false</ScaleCrop>
  <LinksUpToDate>false</LinksUpToDate>
  <CharactersWithSpaces>4957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2019-09-30T01:04:00Z</dcterms:created>
  <dc:creator>PC</dc:creator>
  <cp:lastModifiedBy>╱/.染忆oΟ</cp:lastModifiedBy>
  <dcterms:modified xsi:type="dcterms:W3CDTF">2019-09-30T02:28:48Z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