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C7" w:rsidRPr="00BF0E2F" w:rsidRDefault="003662C7" w:rsidP="003662C7">
      <w:pPr>
        <w:spacing w:line="480" w:lineRule="exact"/>
      </w:pPr>
      <w:r w:rsidRPr="00BF0E2F">
        <w:rPr>
          <w:rFonts w:hint="eastAsia"/>
        </w:rPr>
        <w:t>件</w:t>
      </w:r>
    </w:p>
    <w:p w:rsidR="003662C7" w:rsidRDefault="003662C7" w:rsidP="003662C7">
      <w:pPr>
        <w:autoSpaceDE w:val="0"/>
        <w:spacing w:line="560" w:lineRule="exact"/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</w:p>
    <w:p w:rsidR="003662C7" w:rsidRPr="00BF0E2F" w:rsidRDefault="003662C7" w:rsidP="003662C7">
      <w:pPr>
        <w:autoSpaceDE w:val="0"/>
        <w:spacing w:line="0" w:lineRule="atLeas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 w:rsidRPr="00BF0E2F">
        <w:rPr>
          <w:rFonts w:ascii="方正小标宋简体" w:eastAsia="方正小标宋简体" w:hAnsi="宋体" w:hint="eastAsia"/>
          <w:b/>
          <w:bCs/>
          <w:sz w:val="44"/>
          <w:szCs w:val="44"/>
        </w:rPr>
        <w:t>镇海区推进经济发展科技政策</w:t>
      </w:r>
    </w:p>
    <w:p w:rsidR="003662C7" w:rsidRDefault="003662C7" w:rsidP="003662C7">
      <w:pPr>
        <w:autoSpaceDE w:val="0"/>
        <w:spacing w:line="0" w:lineRule="atLeast"/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  <w:r w:rsidRPr="00BF0E2F">
        <w:rPr>
          <w:rFonts w:ascii="方正小标宋简体" w:eastAsia="方正小标宋简体" w:hAnsi="宋体" w:hint="eastAsia"/>
          <w:b/>
          <w:bCs/>
          <w:sz w:val="44"/>
          <w:szCs w:val="44"/>
        </w:rPr>
        <w:t>专项资金管理办法</w:t>
      </w:r>
    </w:p>
    <w:p w:rsidR="003662C7" w:rsidRPr="00BF0E2F" w:rsidRDefault="003662C7" w:rsidP="003662C7">
      <w:pPr>
        <w:autoSpaceDE w:val="0"/>
        <w:spacing w:line="0" w:lineRule="atLeast"/>
        <w:jc w:val="center"/>
        <w:rPr>
          <w:rFonts w:eastAsia="方正小标宋简体"/>
          <w:b/>
          <w:bCs/>
          <w:spacing w:val="-6"/>
          <w:sz w:val="44"/>
          <w:szCs w:val="44"/>
        </w:rPr>
      </w:pPr>
    </w:p>
    <w:p w:rsidR="003662C7" w:rsidRDefault="003662C7" w:rsidP="003662C7">
      <w:pPr>
        <w:numPr>
          <w:ilvl w:val="0"/>
          <w:numId w:val="1"/>
        </w:numPr>
        <w:autoSpaceDE w:val="0"/>
        <w:spacing w:line="580" w:lineRule="exact"/>
        <w:jc w:val="center"/>
        <w:rPr>
          <w:rFonts w:eastAsia="黑体"/>
          <w:b/>
          <w:bCs/>
        </w:rPr>
      </w:pPr>
      <w:r>
        <w:rPr>
          <w:rFonts w:ascii="黑体" w:eastAsia="黑体" w:hAnsi="黑体"/>
          <w:b/>
          <w:bCs/>
        </w:rPr>
        <w:t>总则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 xml:space="preserve">第一条 </w:t>
      </w:r>
      <w:r>
        <w:rPr>
          <w:rFonts w:ascii="仿宋_GB2312" w:hint="eastAsia"/>
        </w:rPr>
        <w:t xml:space="preserve"> 为贯彻落实《关于印发促进镇海区经济发展的若干意见的通知》（镇区委〔2018〕32号），结合《关于推进“科创镇海”建设打造人才发展最优生态的若干意见（试行）》（镇区委办〔2019〕81号）和《关于印发镇海区财政支持经济发展专项资金管理办法的通知》（镇政办发〔2017〕111号），为大力推进全区科技创新和产业高质量发展，特制定本办法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>第二条</w:t>
      </w:r>
      <w:r>
        <w:rPr>
          <w:rFonts w:ascii="仿宋_GB2312" w:hint="eastAsia"/>
        </w:rPr>
        <w:t xml:space="preserve">  本办法所称的科技政策资金是指列入区级财政预算安排，由区科技局统筹管理，用于支持区域科技创新与进步，推动科技成果转化，提高科技进步水平的专项资金。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>第三条</w:t>
      </w:r>
      <w:r>
        <w:rPr>
          <w:rFonts w:ascii="仿宋_GB2312" w:hint="eastAsia"/>
        </w:rPr>
        <w:t xml:space="preserve">  科技政策资金的管理和使用，坚持突出重点、合理安排、讲求效益、绩效考评的原则。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>第四条</w:t>
      </w:r>
      <w:r>
        <w:rPr>
          <w:rFonts w:ascii="仿宋_GB2312" w:hint="eastAsia"/>
        </w:rPr>
        <w:t xml:space="preserve">  科技政策资金的使用必须遵守国家的有关法律、法规和财务制度，并接受区财政、审计等部门的监督。</w:t>
      </w:r>
    </w:p>
    <w:p w:rsidR="003662C7" w:rsidRDefault="003662C7" w:rsidP="003662C7">
      <w:pPr>
        <w:autoSpaceDE w:val="0"/>
        <w:spacing w:line="580" w:lineRule="exact"/>
        <w:ind w:leftChars="200" w:left="632"/>
        <w:jc w:val="center"/>
        <w:rPr>
          <w:rFonts w:eastAsia="黑体"/>
          <w:b/>
          <w:bCs/>
        </w:rPr>
      </w:pPr>
      <w:r>
        <w:rPr>
          <w:rFonts w:ascii="黑体" w:eastAsia="黑体" w:hAnsi="黑体" w:hint="eastAsia"/>
          <w:b/>
          <w:bCs/>
        </w:rPr>
        <w:t>第二章资金申报条件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>第五条</w:t>
      </w:r>
      <w:r>
        <w:rPr>
          <w:rFonts w:ascii="仿宋_GB2312" w:hint="eastAsia"/>
        </w:rPr>
        <w:t xml:space="preserve">  区级科技资金补助对象主要为本区具有独立法人</w:t>
      </w:r>
      <w:r>
        <w:rPr>
          <w:rFonts w:ascii="仿宋_GB2312" w:hint="eastAsia"/>
        </w:rPr>
        <w:lastRenderedPageBreak/>
        <w:t>资格且纳税关系在本区的各类企事业单位、科研机构，及开展科技创新活动的平台、个人。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 xml:space="preserve">第六条  </w:t>
      </w:r>
      <w:r>
        <w:rPr>
          <w:rFonts w:ascii="仿宋_GB2312" w:hint="eastAsia"/>
        </w:rPr>
        <w:t>上年度已纳入研发统计报表填报对象的企业享受本办法“第八条中（一）、（二）、（三）、（四）、（五）”，报表中须有研发经费支出。规上工业企业享受本办法需满足上年度研发投入不低于100万元或占销售收入比例不低于2%的条件，具体按《镇海区研发投入评价操作细则（试行）》（镇科创领〔2018〕4号）执行。</w:t>
      </w:r>
    </w:p>
    <w:p w:rsidR="003662C7" w:rsidRDefault="003662C7" w:rsidP="003662C7">
      <w:pPr>
        <w:autoSpaceDE w:val="0"/>
        <w:spacing w:line="580" w:lineRule="exact"/>
        <w:ind w:firstLineChars="200" w:firstLine="634"/>
        <w:jc w:val="center"/>
        <w:rPr>
          <w:rFonts w:eastAsia="黑体"/>
          <w:b/>
          <w:bCs/>
        </w:rPr>
      </w:pPr>
      <w:r>
        <w:rPr>
          <w:rFonts w:ascii="黑体" w:eastAsia="黑体" w:hAnsi="黑体"/>
          <w:b/>
          <w:bCs/>
        </w:rPr>
        <w:t>第三章资金使用范围和补助标准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>第七条</w:t>
      </w:r>
      <w:r>
        <w:rPr>
          <w:rFonts w:ascii="仿宋_GB2312" w:hint="eastAsia"/>
        </w:rPr>
        <w:t xml:space="preserve">  科技政策资金主要用于支出企业技术创新、新产品和新工艺的研发、科技成果（项目）转化和推广、区科技市场建设、孵化器、产学研合作、科技金融、国外智力（平台）引进等项目，以及对未获得上级经费资助的国家级立项科技项目补助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 xml:space="preserve">第八条 </w:t>
      </w:r>
      <w:r>
        <w:rPr>
          <w:rFonts w:ascii="仿宋_GB2312" w:hint="eastAsia"/>
        </w:rPr>
        <w:t xml:space="preserve"> 资金补助标准和方式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一）企业工程技术（中心）奖励。对建立国家级、省级、市级、区级企业工程（技术）中心的，分别给予每家300万元、50万元、20万元、5万元的奖励（奖励就高补差，不含上级经费）。区级企业工程（技术）中心认定按《镇海区企业工程（技术）中心认定管理办法》（镇科〔2016〕9号）执行。奖励采取事后补助方式，奖励资金在认定后的第二年给予补助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（二）上级项目补助。对未获得上级经费资助的国家级科技</w:t>
      </w:r>
      <w:r>
        <w:rPr>
          <w:rFonts w:ascii="仿宋_GB2312" w:hint="eastAsia"/>
        </w:rPr>
        <w:lastRenderedPageBreak/>
        <w:t>计划项目（除高新技术企业以外），认定后第二年给予一次性10万元的补助。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（三）创新券补助。扩大“创新券”使用规模，对符合条件的单位和个人市区两级按技术交易实付金额的30%给予补助，最高不超过10万元，具体按《镇海区科技创新券推广应用实施管理办法（试行）》执行。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（四）小微高新技术企业首次认定补助。对首次认定高新技术企业的科技型小微企业（上年度营业收入小于2000万元），认定第二年给予一次性10万元的奖励性补助。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（五）科技创新平台补助。扶持重大科技创新平台发展提升，具体按《镇海区合作共建孵化器考核管理办法（试行）》或同区政府签订的合作协议执行。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鼓励社会主体参与孵化器建设。对初次认定为市级、省级和国家级科技企业孵化器的，分别给予50万元、100万元和150万元的建设经费资助，其中专业孵化器再给予50万元的建设经费资助（奖励就高补差，不含上级经费）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支持镇海科技市场企业化运作。对在镇海区科技市场设立窗口、平台的科技成果供应商进行实绩考核，根据考核等次分别给予每家20万元、10万元、5万元的奖励，具体按《镇海科技市场科技成果供应商考核奖励办法（试行）》执行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（六）区科技金融“科技贷”补助。区科技贷分设风险池基金</w:t>
      </w:r>
      <w:r>
        <w:rPr>
          <w:rFonts w:ascii="仿宋_GB2312" w:hint="eastAsia"/>
        </w:rPr>
        <w:lastRenderedPageBreak/>
        <w:t>贷和保证保险（担保）贷两类。风险池基金贷对银行按年度贷款同期基准利率计算所得利息额的30%给予补助，保险（担保）公司向企业收取的保费不超过贷款额的1%，对保险（担保）公司按贷款保险（担保）额的1.5%给予补助；保证保险（担保）贷对银行按年度贷款同期基准利率计算所得利息额的45%给予补助,对保险（担保）公司按贷款保险（担保）额的1.5%给予补助。具体按《镇海区科技金融“科技贷”专项资金管理办法》执行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七）国外智力（平台）引进补助。对入选宁波市海外工程师年薪资助计划的外籍高层次管理、研发人才，按市级年薪资助标准给予1:1的区级配套。积极鼓励企业引进国外技术、管理人才项目，对于所有入选国家外专局、宁波市“引进国外技术、管理人才项目”资助的项目，入选第二年分别给予一次性5万元、3万元补助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八）高端智力平台补助。被认定为国家级、省级、市级、区级院士工作站的，分别给予100万元、50万元、20万元、10万元的补助（补助就高补差，不包括绩效考核优秀补助），区级院士工作站认定按《镇海区院士工作站建设与管理办法》执行。省、市级院士工作站认定后被上级主管</w:t>
      </w:r>
      <w:bookmarkStart w:id="0" w:name="_GoBack"/>
      <w:bookmarkEnd w:id="0"/>
      <w:r>
        <w:rPr>
          <w:rFonts w:ascii="仿宋_GB2312" w:hint="eastAsia"/>
        </w:rPr>
        <w:t>部门评为三年绩效考核优秀的，再分别给予10万元补助。对国家级（省级）学会在镇海设立分中心或服务站的单位，经认定首次给予5万元补助，以后两年经绩效评价良好的，每年给予5万元补助，以上三次补助资金在认</w:t>
      </w:r>
      <w:r>
        <w:rPr>
          <w:rFonts w:ascii="仿宋_GB2312" w:hint="eastAsia"/>
        </w:rPr>
        <w:lastRenderedPageBreak/>
        <w:t>定（绩效评价）后的第二年兑现。</w:t>
      </w:r>
    </w:p>
    <w:p w:rsidR="003662C7" w:rsidRDefault="003662C7" w:rsidP="003662C7">
      <w:pPr>
        <w:autoSpaceDE w:val="0"/>
        <w:spacing w:line="580" w:lineRule="exact"/>
        <w:ind w:firstLineChars="200" w:firstLine="634"/>
        <w:jc w:val="center"/>
        <w:rPr>
          <w:rFonts w:eastAsia="黑体"/>
          <w:b/>
          <w:bCs/>
        </w:rPr>
      </w:pPr>
      <w:r>
        <w:rPr>
          <w:rFonts w:ascii="黑体" w:eastAsia="黑体" w:hAnsi="黑体"/>
          <w:b/>
          <w:bCs/>
        </w:rPr>
        <w:t>第四章资金申报、审核及拨付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>第九条</w:t>
      </w:r>
      <w:r>
        <w:rPr>
          <w:rFonts w:ascii="仿宋_GB2312" w:hint="eastAsia"/>
        </w:rPr>
        <w:t xml:space="preserve">  区科技局会同区财政局联合印发申报通知，组织开展申报工作。符合申报条件的企业应按照本办法规定和具体申报通知的要求，在规定时间内向区科技局提交相关申请材料，逾期不予受理。区工程（技术）中心、上级项目补助一般安排在每年4月底前申报。国外智力（平台）引进补助、各级院士工作站和国家级（省级）分中心或服务站补助申报安排在每年的4-5月份。各类项目奖补资金在当年10月底前完成审核兑现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 xml:space="preserve">第十条  </w:t>
      </w:r>
      <w:r>
        <w:rPr>
          <w:rFonts w:ascii="仿宋_GB2312" w:hint="eastAsia"/>
        </w:rPr>
        <w:t>申报企业（单位）需如实提供以下材料，并对所提供材料的真实性、完整性和合法性负法律责任：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（一）《镇海区财政支持经济发展专项资金申请表》；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（二）营业执照复印件、税务登记证副本复印件；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（三）企业有关资质、证书、主管部门认定文件复印件；</w:t>
      </w:r>
    </w:p>
    <w:p w:rsidR="003662C7" w:rsidRDefault="003662C7" w:rsidP="003662C7">
      <w:pPr>
        <w:autoSpaceDE w:val="0"/>
        <w:snapToGrid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 xml:space="preserve">（四）申请区工程（技术）中心的企业，应当提交近2年财务审计报告和上年度研究开发费用证明材料，从事研发和相关技术创新活动的科技人员名单，及《镇海区企业工程（技术）中心认定管理办法》规定要求提供的其他资料； </w:t>
      </w:r>
    </w:p>
    <w:p w:rsidR="003662C7" w:rsidRDefault="003662C7" w:rsidP="003662C7">
      <w:pPr>
        <w:autoSpaceDE w:val="0"/>
        <w:snapToGrid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（五）申请区“科技贷”补助的单位，应当提供贷款和保证保险（担保）合同、利息和保费收据复印件；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（六）申请科技成果供应商奖励补助的单位，应对照考核要</w:t>
      </w:r>
      <w:r>
        <w:rPr>
          <w:rFonts w:ascii="仿宋_GB2312" w:hint="eastAsia"/>
        </w:rPr>
        <w:lastRenderedPageBreak/>
        <w:t>求提交相关佐证材料；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（七）申请科技创新平台奖励补助的单位，应对照考核要求提交相关佐证材料；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  <w:kern w:val="0"/>
        </w:rPr>
      </w:pPr>
      <w:r>
        <w:rPr>
          <w:rFonts w:ascii="仿宋_GB2312" w:hint="eastAsia"/>
        </w:rPr>
        <w:t>（八）申请创新券补助的单位，应当提交</w:t>
      </w:r>
      <w:r>
        <w:rPr>
          <w:rFonts w:ascii="仿宋_GB2312" w:hint="eastAsia"/>
          <w:kern w:val="0"/>
        </w:rPr>
        <w:t>《宁波市科技创新券兑现申请表》、服务合同、服务记录和证明材料（包括检测报告、技术解决方案、技术合同）、企业自付款凭据等相关资料；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（九）申请国外智力（平台）引进补助的人员（项目），应当提交外国专家护照、聘用合同、完税证明、差旅费相关票据等资料；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（十）其它有关证明材料。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>第十一条</w:t>
      </w:r>
      <w:r>
        <w:rPr>
          <w:rFonts w:ascii="仿宋_GB2312" w:hint="eastAsia"/>
        </w:rPr>
        <w:t xml:space="preserve">  企业应按申报通知文件明确的期限、程序及要求向区科技局提交申报材料，提交申报材料时，应一并对以下内容进行承诺：申报材料真实、合法、完整，取得补助、资助、奖励资金后按规定用途使用并配合监督检查和绩效评价，若发生违背承诺的事实，自愿放弃五年内申报专项资金的资格；自领取扶持资金起五年内不迁移注册至区外、不改变在本区的纳税义务关系。不承诺的，审核应不予通过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>第十二条</w:t>
      </w:r>
      <w:r>
        <w:rPr>
          <w:rFonts w:ascii="仿宋_GB2312" w:hint="eastAsia"/>
        </w:rPr>
        <w:t xml:space="preserve">  区科技局对申请材料进行审核，必要时采取委托中介机构审计、组织专家评审、开展现场核查等程序，根据择优扶持原则，确定扶持企事业单位名单、个人和金额，在区科技局网站和区经济政策资金管理信息系统进行网络公示，公示时间为</w:t>
      </w:r>
      <w:r>
        <w:rPr>
          <w:rFonts w:ascii="仿宋_GB2312" w:hint="eastAsia"/>
        </w:rPr>
        <w:lastRenderedPageBreak/>
        <w:t>五个工作日。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 xml:space="preserve">第十三条  </w:t>
      </w:r>
      <w:r>
        <w:rPr>
          <w:rFonts w:ascii="仿宋_GB2312" w:hint="eastAsia"/>
        </w:rPr>
        <w:t>经公示无异议的，由区科技局和区财政局联合行文下达资金，到企业的扶持资金通过国库直接支付，到个人的扶持资金通过区科技局转拨。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>第十四条</w:t>
      </w:r>
      <w:r>
        <w:rPr>
          <w:rFonts w:ascii="仿宋_GB2312" w:hint="eastAsia"/>
        </w:rPr>
        <w:t xml:space="preserve">  凭上级或区政府表彰、认定文件、上级资金下达文件，按照我区有关政策给予企业（单位、个人）补助、资助、奖励资金的，不再履行申报、审核、公示等程序，直接凭上述文件兑现政策。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>第十五条</w:t>
      </w:r>
      <w:r>
        <w:rPr>
          <w:rFonts w:ascii="仿宋_GB2312" w:hint="eastAsia"/>
        </w:rPr>
        <w:t xml:space="preserve">  区科技局负责申报、审核资料的整理、归档，保管期限一般不少于五年。</w:t>
      </w:r>
    </w:p>
    <w:p w:rsidR="003662C7" w:rsidRDefault="003662C7" w:rsidP="003662C7">
      <w:pPr>
        <w:autoSpaceDE w:val="0"/>
        <w:spacing w:line="580" w:lineRule="exact"/>
        <w:ind w:firstLineChars="200" w:firstLine="634"/>
        <w:jc w:val="center"/>
        <w:rPr>
          <w:rFonts w:eastAsia="黑体"/>
          <w:b/>
          <w:bCs/>
        </w:rPr>
      </w:pPr>
      <w:r>
        <w:rPr>
          <w:rFonts w:ascii="黑体" w:eastAsia="黑体" w:hAnsi="黑体"/>
          <w:b/>
          <w:bCs/>
        </w:rPr>
        <w:t>第五章管理与监督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 xml:space="preserve">第十六条 </w:t>
      </w:r>
      <w:r>
        <w:rPr>
          <w:rFonts w:ascii="仿宋_GB2312" w:hint="eastAsia"/>
        </w:rPr>
        <w:t xml:space="preserve"> 区财政局、区科技局为科技专项资金的管理部门，共同负责科技专项资金的政策制定、组织领导和监督检查，研究确定科技专项资金实施过程中的有关事项。区财政局主要负责安排年度预算资金、发放项目经费、对资金使用情况进行监督检查。区科技局主要负责编制资金年度预算、制定年度立项工作计划，组织项目申报并提出资金安排意见、拟定项目合同、监管项目实施情况以及评价项目绩效等工作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 xml:space="preserve">第十七条 </w:t>
      </w:r>
      <w:r>
        <w:rPr>
          <w:rFonts w:ascii="仿宋_GB2312" w:hint="eastAsia"/>
        </w:rPr>
        <w:t xml:space="preserve"> 相关企业获得的扶持资金应单独核算，专款专用。任何单位和个人不得以任何理由截留、挤占、挪用。对违反规定的有关单位和个人将依法追究责任。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lastRenderedPageBreak/>
        <w:t>第十八条</w:t>
      </w:r>
      <w:r>
        <w:rPr>
          <w:rFonts w:ascii="仿宋_GB2312" w:hint="eastAsia"/>
        </w:rPr>
        <w:t xml:space="preserve">  企业（单位）弄虚作假骗取政策资金、违反规定使用政策资金的，业务主管部门将按照国家有关法律法规规定，全额追回补助奖励资金，依法追究相关人员责任，并取消其五年内申报政策资格。</w:t>
      </w:r>
    </w:p>
    <w:p w:rsidR="003662C7" w:rsidRDefault="003662C7" w:rsidP="003662C7">
      <w:pPr>
        <w:autoSpaceDE w:val="0"/>
        <w:adjustRightInd w:val="0"/>
        <w:snapToGrid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>第十九条</w:t>
      </w:r>
      <w:r>
        <w:rPr>
          <w:rFonts w:ascii="仿宋_GB2312" w:hint="eastAsia"/>
        </w:rPr>
        <w:t xml:space="preserve">  区科技局在预算编制过程中同步编报绩效目标。区财政局对预算资金进行绩效管理，并做好财政监督检查工作。区科技局对奖补对象履行承诺和资金使用情况进行后续跟踪监督。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>第二十条</w:t>
      </w:r>
      <w:r>
        <w:rPr>
          <w:rFonts w:ascii="仿宋_GB2312" w:hint="eastAsia"/>
        </w:rPr>
        <w:t xml:space="preserve">  为加强财政支出管理，强化支出责任，提高财政资金的使用效益，区科技局牵头组织对专项资金使用情况实施绩效评价。</w:t>
      </w:r>
    </w:p>
    <w:p w:rsidR="003662C7" w:rsidRDefault="003662C7" w:rsidP="003662C7">
      <w:pPr>
        <w:autoSpaceDE w:val="0"/>
        <w:spacing w:line="580" w:lineRule="exact"/>
        <w:ind w:firstLineChars="200" w:firstLine="634"/>
        <w:jc w:val="center"/>
        <w:rPr>
          <w:rFonts w:eastAsia="黑体"/>
          <w:b/>
          <w:bCs/>
        </w:rPr>
      </w:pPr>
      <w:r>
        <w:rPr>
          <w:rFonts w:ascii="黑体" w:eastAsia="黑体" w:hAnsi="黑体"/>
          <w:b/>
          <w:bCs/>
        </w:rPr>
        <w:t>第六章附则</w:t>
      </w:r>
    </w:p>
    <w:p w:rsidR="003662C7" w:rsidRDefault="003662C7" w:rsidP="003662C7">
      <w:pPr>
        <w:autoSpaceDE w:val="0"/>
        <w:spacing w:line="580" w:lineRule="exact"/>
        <w:ind w:firstLineChars="200" w:firstLine="632"/>
        <w:jc w:val="left"/>
        <w:rPr>
          <w:rFonts w:ascii="仿宋_GB2312"/>
        </w:rPr>
      </w:pPr>
      <w:r>
        <w:rPr>
          <w:rFonts w:ascii="仿宋_GB2312" w:hint="eastAsia"/>
          <w:b/>
          <w:bCs/>
        </w:rPr>
        <w:t>第二十一条</w:t>
      </w:r>
      <w:r>
        <w:rPr>
          <w:rFonts w:ascii="仿宋_GB2312" w:hint="eastAsia"/>
        </w:rPr>
        <w:t xml:space="preserve">  同一主体、同一事项，区级各项优惠政策就高不重复享受，企业（单位）同一事项只能选择申报一项区级经济政策。上级政策要求区财政予以配套奖励的，区配套部分按本管理办法规定的奖励补助标准或配套办法计算、兑现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</w:rPr>
        <w:t>政策中有关递进式奖励按差额计算。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>第二十二条</w:t>
      </w:r>
      <w:r>
        <w:rPr>
          <w:rFonts w:ascii="仿宋_GB2312" w:hint="eastAsia"/>
        </w:rPr>
        <w:t xml:space="preserve">  上年度营业收入小于2000万元的区工程（技术）中心认定补助、创新券补助、小微高新技术企业首次认定补助、科技创新平台(包括孵化器、科技市场)补助、区科技金融“科技贷”补助、高端智力平台（包括院士工作站和国家级、省级学会）补助不应用32号附则第五条“本政策所涉项目，落户三年以上的</w:t>
      </w:r>
      <w:r>
        <w:rPr>
          <w:rFonts w:ascii="仿宋_GB2312" w:hint="eastAsia"/>
        </w:rPr>
        <w:lastRenderedPageBreak/>
        <w:t>企业当年享受的扶持资金总额(不包括上级特定专项补助)，原则上不高于上年的企业综合贡献”规定。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>第二十三条</w:t>
      </w:r>
      <w:r>
        <w:rPr>
          <w:rFonts w:ascii="仿宋_GB2312" w:hint="eastAsia"/>
        </w:rPr>
        <w:t xml:space="preserve">  本管理办法自发文之日起施行，由区科技局和区财政局负责解释，原政策《关于印发镇海区科技政策资金暂行管理办法的通知》（镇科〔2017〕24号）废止，涉及整年度政策兑现事项适用本办法。</w:t>
      </w:r>
    </w:p>
    <w:p w:rsidR="003662C7" w:rsidRDefault="003662C7" w:rsidP="003662C7">
      <w:pPr>
        <w:autoSpaceDE w:val="0"/>
        <w:spacing w:line="580" w:lineRule="exact"/>
        <w:ind w:firstLineChars="200" w:firstLine="632"/>
        <w:rPr>
          <w:rFonts w:ascii="仿宋_GB2312"/>
        </w:rPr>
      </w:pPr>
      <w:r>
        <w:rPr>
          <w:rFonts w:ascii="仿宋_GB2312" w:hint="eastAsia"/>
          <w:b/>
          <w:bCs/>
        </w:rPr>
        <w:t xml:space="preserve">第二十四条  </w:t>
      </w:r>
      <w:r>
        <w:rPr>
          <w:rFonts w:ascii="仿宋_GB2312" w:hint="eastAsia"/>
        </w:rPr>
        <w:t>有关资金管理要求本办法未作规定的，执行《关于印发镇海区财政支持经济发展专项资金管理办法的通知》（镇政办发〔2017〕111号）相关规定。</w:t>
      </w:r>
    </w:p>
    <w:p w:rsidR="003662C7" w:rsidRDefault="003662C7" w:rsidP="003662C7">
      <w:pPr>
        <w:spacing w:line="480" w:lineRule="exact"/>
        <w:rPr>
          <w:rFonts w:ascii="仿宋_GB2312"/>
          <w:sz w:val="28"/>
          <w:szCs w:val="28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Pr="00BF0E2F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Default="003662C7" w:rsidP="003662C7">
      <w:pPr>
        <w:spacing w:line="560" w:lineRule="exact"/>
        <w:rPr>
          <w:rFonts w:ascii="仿宋_GB2312" w:hint="eastAsia"/>
        </w:rPr>
      </w:pPr>
    </w:p>
    <w:p w:rsidR="003662C7" w:rsidRPr="007F0F2A" w:rsidRDefault="003662C7" w:rsidP="003662C7">
      <w:pPr>
        <w:spacing w:line="400" w:lineRule="exact"/>
        <w:rPr>
          <w:rFonts w:ascii="仿宋_GB2312" w:hint="eastAsia"/>
          <w:sz w:val="28"/>
          <w:szCs w:val="28"/>
        </w:rPr>
      </w:pPr>
      <w:r>
        <w:rPr>
          <w:rFonts w:ascii="仿宋_GB2312" w:hint="eastAsia"/>
        </w:rPr>
        <w:t xml:space="preserve">  </w:t>
      </w:r>
    </w:p>
    <w:p w:rsidR="003662C7" w:rsidRPr="00E04787" w:rsidRDefault="003662C7" w:rsidP="003662C7">
      <w:pPr>
        <w:spacing w:line="480" w:lineRule="exac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noProof/>
        </w:rPr>
        <w:pict>
          <v:line id="_x0000_s2051" style="position:absolute;left:0;text-align:left;z-index:251661312" from="-1.1pt,2.35pt" to="441.1pt,2.35pt" strokeweight="1pt"/>
        </w:pict>
      </w:r>
      <w:r>
        <w:rPr>
          <w:rFonts w:ascii="仿宋_GB2312" w:hint="eastAsia"/>
          <w:noProof/>
          <w:sz w:val="28"/>
          <w:szCs w:val="28"/>
        </w:rPr>
        <w:pict>
          <v:line id="_x0000_s2050" style="position:absolute;left:0;text-align:left;z-index:251660288" from="-.35pt,29.85pt" to="441.85pt,29.85pt" strokeweight="1pt"/>
        </w:pict>
      </w:r>
      <w:r>
        <w:rPr>
          <w:rFonts w:ascii="仿宋_GB2312" w:hint="eastAsia"/>
          <w:sz w:val="28"/>
          <w:szCs w:val="28"/>
        </w:rPr>
        <w:t xml:space="preserve">  宁波市镇海区科学技术局办公室         </w:t>
      </w:r>
      <w:r w:rsidRPr="00405E52">
        <w:rPr>
          <w:sz w:val="28"/>
          <w:szCs w:val="28"/>
        </w:rPr>
        <w:t xml:space="preserve"> </w:t>
      </w:r>
      <w:r w:rsidRPr="00405E52">
        <w:rPr>
          <w:sz w:val="28"/>
          <w:szCs w:val="28"/>
        </w:rPr>
        <w:t xml:space="preserve">　</w:t>
      </w:r>
      <w:r w:rsidRPr="00405E52"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 w:rsidRPr="00405E52"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 w:rsidRPr="00405E52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 w:rsidRPr="00405E52">
        <w:rPr>
          <w:sz w:val="28"/>
          <w:szCs w:val="28"/>
        </w:rPr>
        <w:t>日印发</w:t>
      </w:r>
    </w:p>
    <w:p w:rsidR="00B60216" w:rsidRPr="003662C7" w:rsidRDefault="00B60216"/>
    <w:sectPr w:rsidR="00B60216" w:rsidRPr="003662C7" w:rsidSect="008B7DF8">
      <w:footerReference w:type="even" r:id="rId7"/>
      <w:footerReference w:type="default" r:id="rId8"/>
      <w:pgSz w:w="11906" w:h="16838" w:code="9"/>
      <w:pgMar w:top="2098" w:right="1474" w:bottom="1985" w:left="1588" w:header="851" w:footer="1531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16" w:rsidRDefault="00B60216" w:rsidP="003662C7">
      <w:r>
        <w:separator/>
      </w:r>
    </w:p>
  </w:endnote>
  <w:endnote w:type="continuationSeparator" w:id="1">
    <w:p w:rsidR="00B60216" w:rsidRDefault="00B60216" w:rsidP="0036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87" w:rsidRPr="00E04787" w:rsidRDefault="00B60216" w:rsidP="00E04787">
    <w:pPr>
      <w:pStyle w:val="a4"/>
      <w:ind w:firstLineChars="100" w:firstLine="280"/>
      <w:rPr>
        <w:rFonts w:ascii="宋体" w:eastAsia="宋体" w:hAnsi="宋体" w:hint="eastAsia"/>
        <w:sz w:val="28"/>
        <w:szCs w:val="28"/>
      </w:rPr>
    </w:pPr>
    <w:r w:rsidRPr="00E04787">
      <w:rPr>
        <w:rFonts w:ascii="宋体" w:eastAsia="宋体" w:hAnsi="宋体" w:hint="eastAsia"/>
        <w:sz w:val="28"/>
        <w:szCs w:val="28"/>
      </w:rPr>
      <w:t xml:space="preserve">—　</w:t>
    </w:r>
    <w:r w:rsidRPr="00E04787">
      <w:rPr>
        <w:rStyle w:val="a5"/>
        <w:rFonts w:ascii="宋体" w:eastAsia="宋体" w:hAnsi="宋体"/>
        <w:sz w:val="28"/>
        <w:szCs w:val="28"/>
      </w:rPr>
      <w:fldChar w:fldCharType="begin"/>
    </w:r>
    <w:r w:rsidRPr="00E04787">
      <w:rPr>
        <w:rStyle w:val="a5"/>
        <w:rFonts w:ascii="宋体" w:eastAsia="宋体" w:hAnsi="宋体"/>
        <w:sz w:val="28"/>
        <w:szCs w:val="28"/>
      </w:rPr>
      <w:instrText xml:space="preserve"> PAGE </w:instrText>
    </w:r>
    <w:r w:rsidRPr="00E04787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12</w:t>
    </w:r>
    <w:r w:rsidRPr="00E04787">
      <w:rPr>
        <w:rStyle w:val="a5"/>
        <w:rFonts w:ascii="宋体" w:eastAsia="宋体" w:hAnsi="宋体"/>
        <w:sz w:val="28"/>
        <w:szCs w:val="28"/>
      </w:rPr>
      <w:fldChar w:fldCharType="end"/>
    </w:r>
    <w:r w:rsidRPr="00E04787">
      <w:rPr>
        <w:rStyle w:val="a5"/>
        <w:rFonts w:ascii="宋体" w:eastAsia="宋体" w:hAnsi="宋体" w:hint="eastAsia"/>
        <w:sz w:val="28"/>
        <w:szCs w:val="28"/>
      </w:rPr>
      <w:t xml:space="preserve">　</w:t>
    </w:r>
    <w:r w:rsidRPr="00E04787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87" w:rsidRPr="00E04787" w:rsidRDefault="00B60216" w:rsidP="00E04787">
    <w:pPr>
      <w:pStyle w:val="a4"/>
      <w:ind w:right="280"/>
      <w:jc w:val="right"/>
      <w:rPr>
        <w:rFonts w:ascii="宋体" w:eastAsia="宋体" w:hAnsi="宋体" w:hint="eastAsia"/>
        <w:sz w:val="28"/>
        <w:szCs w:val="28"/>
      </w:rPr>
    </w:pPr>
    <w:r w:rsidRPr="00E04787">
      <w:rPr>
        <w:rFonts w:ascii="宋体" w:eastAsia="宋体" w:hAnsi="宋体" w:hint="eastAsia"/>
        <w:sz w:val="28"/>
        <w:szCs w:val="28"/>
      </w:rPr>
      <w:t xml:space="preserve">—　</w:t>
    </w:r>
    <w:r w:rsidRPr="00E04787">
      <w:rPr>
        <w:rStyle w:val="a5"/>
        <w:rFonts w:ascii="宋体" w:eastAsia="宋体" w:hAnsi="宋体"/>
        <w:sz w:val="28"/>
        <w:szCs w:val="28"/>
      </w:rPr>
      <w:fldChar w:fldCharType="begin"/>
    </w:r>
    <w:r w:rsidRPr="00E04787">
      <w:rPr>
        <w:rStyle w:val="a5"/>
        <w:rFonts w:ascii="宋体" w:eastAsia="宋体" w:hAnsi="宋体"/>
        <w:sz w:val="28"/>
        <w:szCs w:val="28"/>
      </w:rPr>
      <w:instrText xml:space="preserve"> PAGE </w:instrText>
    </w:r>
    <w:r w:rsidRPr="00E04787">
      <w:rPr>
        <w:rStyle w:val="a5"/>
        <w:rFonts w:ascii="宋体" w:eastAsia="宋体" w:hAnsi="宋体"/>
        <w:sz w:val="28"/>
        <w:szCs w:val="28"/>
      </w:rPr>
      <w:fldChar w:fldCharType="separate"/>
    </w:r>
    <w:r w:rsidR="003662C7">
      <w:rPr>
        <w:rStyle w:val="a5"/>
        <w:rFonts w:ascii="宋体" w:eastAsia="宋体" w:hAnsi="宋体"/>
        <w:noProof/>
        <w:sz w:val="28"/>
        <w:szCs w:val="28"/>
      </w:rPr>
      <w:t>2</w:t>
    </w:r>
    <w:r w:rsidRPr="00E04787">
      <w:rPr>
        <w:rStyle w:val="a5"/>
        <w:rFonts w:ascii="宋体" w:eastAsia="宋体" w:hAnsi="宋体"/>
        <w:sz w:val="28"/>
        <w:szCs w:val="28"/>
      </w:rPr>
      <w:fldChar w:fldCharType="end"/>
    </w:r>
    <w:r w:rsidRPr="00E04787">
      <w:rPr>
        <w:rStyle w:val="a5"/>
        <w:rFonts w:ascii="宋体" w:eastAsia="宋体" w:hAnsi="宋体" w:hint="eastAsia"/>
        <w:sz w:val="28"/>
        <w:szCs w:val="28"/>
      </w:rPr>
      <w:t xml:space="preserve">　</w:t>
    </w:r>
    <w:r w:rsidRPr="00E04787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16" w:rsidRDefault="00B60216" w:rsidP="003662C7">
      <w:r>
        <w:separator/>
      </w:r>
    </w:p>
  </w:footnote>
  <w:footnote w:type="continuationSeparator" w:id="1">
    <w:p w:rsidR="00B60216" w:rsidRDefault="00B60216" w:rsidP="00366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D0330"/>
    <w:multiLevelType w:val="multilevel"/>
    <w:tmpl w:val="619D0330"/>
    <w:lvl w:ilvl="0">
      <w:start w:val="1"/>
      <w:numFmt w:val="japaneseCounting"/>
      <w:lvlText w:val="第%1章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2C7"/>
    <w:rsid w:val="003662C7"/>
    <w:rsid w:val="00B6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C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2C7"/>
    <w:rPr>
      <w:sz w:val="18"/>
      <w:szCs w:val="18"/>
    </w:rPr>
  </w:style>
  <w:style w:type="paragraph" w:styleId="a4">
    <w:name w:val="footer"/>
    <w:basedOn w:val="a"/>
    <w:link w:val="Char0"/>
    <w:unhideWhenUsed/>
    <w:rsid w:val="00366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2C7"/>
    <w:rPr>
      <w:sz w:val="18"/>
      <w:szCs w:val="18"/>
    </w:rPr>
  </w:style>
  <w:style w:type="character" w:styleId="a5">
    <w:name w:val="page number"/>
    <w:basedOn w:val="a0"/>
    <w:rsid w:val="00366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645</Words>
  <Characters>3680</Characters>
  <Application>Microsoft Office Word</Application>
  <DocSecurity>0</DocSecurity>
  <Lines>30</Lines>
  <Paragraphs>8</Paragraphs>
  <ScaleCrop>false</ScaleCrop>
  <Company>china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2020-02-27T07:26:00Z</dcterms:created>
  <dcterms:modified xsi:type="dcterms:W3CDTF">2020-02-27T07:27:00Z</dcterms:modified>
</cp:coreProperties>
</file>