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240" w:lineRule="atLeas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北仑区应对疫情帮扶企业政策直接办理事项一览表</w:t>
      </w:r>
      <w:bookmarkEnd w:id="0"/>
    </w:p>
    <w:p>
      <w:pPr>
        <w:adjustRightInd w:val="0"/>
        <w:snapToGrid w:val="0"/>
        <w:spacing w:line="240" w:lineRule="atLeast"/>
        <w:jc w:val="center"/>
        <w:rPr>
          <w:rFonts w:hint="eastAsia" w:ascii="方正小标宋简体" w:hAnsi="方正小标宋简体" w:eastAsia="方正小标宋简体" w:cs="方正小标宋简体"/>
          <w:sz w:val="36"/>
          <w:szCs w:val="36"/>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840"/>
        <w:gridCol w:w="948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484" w:type="dxa"/>
            <w:noWrap w:val="0"/>
            <w:vAlign w:val="center"/>
          </w:tcPr>
          <w:p>
            <w:pPr>
              <w:adjustRightInd w:val="0"/>
              <w:snapToGrid w:val="0"/>
              <w:spacing w:line="240" w:lineRule="atLeast"/>
              <w:jc w:val="center"/>
              <w:rPr>
                <w:rFonts w:hint="eastAsia" w:ascii="仿宋_GB2312" w:hAnsi="方正小标宋简体" w:eastAsia="仿宋_GB2312" w:cs="方正小标宋简体"/>
                <w:b/>
                <w:bCs/>
                <w:szCs w:val="21"/>
              </w:rPr>
            </w:pPr>
            <w:r>
              <w:rPr>
                <w:rFonts w:hint="eastAsia" w:ascii="仿宋_GB2312" w:hAnsi="方正小标宋简体" w:eastAsia="仿宋_GB2312" w:cs="方正小标宋简体"/>
                <w:b/>
                <w:bCs/>
                <w:szCs w:val="21"/>
              </w:rPr>
              <w:t>政策来源</w:t>
            </w: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b/>
                <w:bCs/>
                <w:spacing w:val="-20"/>
                <w:szCs w:val="21"/>
              </w:rPr>
            </w:pPr>
            <w:r>
              <w:rPr>
                <w:rFonts w:hint="eastAsia" w:ascii="仿宋_GB2312" w:hAnsi="方正小标宋简体" w:eastAsia="仿宋_GB2312" w:cs="方正小标宋简体"/>
                <w:b/>
                <w:bCs/>
                <w:spacing w:val="-20"/>
                <w:szCs w:val="21"/>
              </w:rPr>
              <w:t>序号</w:t>
            </w:r>
          </w:p>
        </w:tc>
        <w:tc>
          <w:tcPr>
            <w:tcW w:w="9480" w:type="dxa"/>
            <w:noWrap w:val="0"/>
            <w:vAlign w:val="center"/>
          </w:tcPr>
          <w:p>
            <w:pPr>
              <w:adjustRightInd w:val="0"/>
              <w:snapToGrid w:val="0"/>
              <w:spacing w:line="240" w:lineRule="atLeast"/>
              <w:jc w:val="center"/>
              <w:rPr>
                <w:rFonts w:hint="eastAsia" w:ascii="仿宋_GB2312" w:hAnsi="方正小标宋简体" w:eastAsia="仿宋_GB2312" w:cs="方正小标宋简体"/>
                <w:b/>
                <w:bCs/>
                <w:szCs w:val="21"/>
              </w:rPr>
            </w:pPr>
            <w:r>
              <w:rPr>
                <w:rFonts w:hint="eastAsia" w:ascii="仿宋_GB2312" w:hAnsi="方正小标宋简体" w:eastAsia="仿宋_GB2312" w:cs="方正小标宋简体"/>
                <w:b/>
                <w:bCs/>
                <w:szCs w:val="21"/>
              </w:rPr>
              <w:t>政策内容</w:t>
            </w:r>
          </w:p>
        </w:tc>
        <w:tc>
          <w:tcPr>
            <w:tcW w:w="1087" w:type="dxa"/>
            <w:noWrap w:val="0"/>
            <w:vAlign w:val="center"/>
          </w:tcPr>
          <w:p>
            <w:pPr>
              <w:adjustRightInd w:val="0"/>
              <w:snapToGrid w:val="0"/>
              <w:spacing w:line="240" w:lineRule="atLeast"/>
              <w:jc w:val="center"/>
              <w:rPr>
                <w:rFonts w:hint="eastAsia" w:ascii="仿宋_GB2312" w:hAnsi="方正小标宋简体" w:eastAsia="仿宋_GB2312" w:cs="方正小标宋简体"/>
                <w:b/>
                <w:bCs/>
                <w:szCs w:val="21"/>
              </w:rPr>
            </w:pPr>
            <w:r>
              <w:rPr>
                <w:rFonts w:hint="eastAsia" w:ascii="仿宋_GB2312" w:hAnsi="方正小标宋简体" w:eastAsia="仿宋_GB2312" w:cs="方正小标宋简体"/>
                <w:b/>
                <w:bCs/>
                <w:szCs w:val="21"/>
              </w:rPr>
              <w:t>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484" w:type="dxa"/>
            <w:vMerge w:val="restart"/>
            <w:noWrap w:val="0"/>
            <w:vAlign w:val="center"/>
          </w:tcPr>
          <w:p>
            <w:pPr>
              <w:adjustRightInd w:val="0"/>
              <w:snapToGrid w:val="0"/>
              <w:spacing w:line="240" w:lineRule="atLeast"/>
              <w:rPr>
                <w:rFonts w:hint="eastAsia" w:ascii="仿宋" w:hAnsi="仿宋" w:eastAsia="仿宋" w:cs="仿宋"/>
                <w:szCs w:val="21"/>
              </w:rPr>
            </w:pPr>
            <w:r>
              <w:rPr>
                <w:rFonts w:hint="eastAsia" w:ascii="仿宋_GB2312" w:hAnsi="仿宋_GB2312" w:eastAsia="仿宋_GB2312" w:cs="仿宋_GB2312"/>
                <w:szCs w:val="21"/>
              </w:rPr>
              <w:t>《宁波市人民政府关于打赢疫情防控阻击战帮扶中小企业共渡难关的实施意见》（仑政</w:t>
            </w:r>
            <w:r>
              <w:rPr>
                <w:rFonts w:hint="eastAsia" w:ascii="仿宋_GB2312" w:eastAsia="仿宋_GB2312"/>
                <w:spacing w:val="-4"/>
                <w:szCs w:val="21"/>
              </w:rPr>
              <w:t>〔</w:t>
            </w:r>
            <w:r>
              <w:rPr>
                <w:rFonts w:ascii="仿宋_GB2312" w:eastAsia="仿宋_GB2312"/>
                <w:spacing w:val="-4"/>
                <w:szCs w:val="21"/>
              </w:rPr>
              <w:t>2020</w:t>
            </w:r>
            <w:r>
              <w:rPr>
                <w:rFonts w:hint="eastAsia" w:ascii="仿宋_GB2312" w:eastAsia="仿宋_GB2312"/>
                <w:spacing w:val="-4"/>
                <w:szCs w:val="21"/>
              </w:rPr>
              <w:t>〕</w:t>
            </w:r>
            <w:r>
              <w:rPr>
                <w:rFonts w:hint="eastAsia" w:ascii="仿宋_GB2312" w:hAnsi="仿宋_GB2312" w:eastAsia="仿宋_GB2312" w:cs="仿宋_GB2312"/>
                <w:szCs w:val="21"/>
              </w:rPr>
              <w:t>5号）</w:t>
            </w: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1</w:t>
            </w:r>
          </w:p>
        </w:tc>
        <w:tc>
          <w:tcPr>
            <w:tcW w:w="9480" w:type="dxa"/>
            <w:noWrap w:val="0"/>
            <w:vAlign w:val="center"/>
          </w:tcPr>
          <w:p>
            <w:pPr>
              <w:adjustRightInd w:val="0"/>
              <w:snapToGrid w:val="0"/>
              <w:spacing w:line="240" w:lineRule="atLeast"/>
              <w:rPr>
                <w:rFonts w:hint="eastAsia" w:ascii="仿宋_GB2312" w:hAnsi="仿宋" w:eastAsia="仿宋_GB2312" w:cs="仿宋"/>
                <w:spacing w:val="-8"/>
                <w:szCs w:val="21"/>
                <w:shd w:val="clear" w:color="auto" w:fill="FFFFFF"/>
              </w:rPr>
            </w:pPr>
            <w:r>
              <w:rPr>
                <w:rFonts w:hint="eastAsia" w:ascii="仿宋_GB2312" w:hAnsi="仿宋" w:eastAsia="仿宋_GB2312" w:cs="仿宋"/>
                <w:spacing w:val="-8"/>
                <w:szCs w:val="21"/>
                <w:shd w:val="clear" w:color="auto" w:fill="FFFFFF"/>
              </w:rPr>
              <w:t>引导中小银行聚焦主责主业，服务地区经济、服务小微企业，全力满足疫情防控融资需求。鼓励市内银行法人机构按照总规模100亿元额度为受疫情影响较大的企业贷款减免3个月利息，每户最高可享受100万元贷款免3个月利息的优惠。</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484" w:type="dxa"/>
            <w:vMerge w:val="continue"/>
            <w:noWrap w:val="0"/>
            <w:vAlign w:val="center"/>
          </w:tcPr>
          <w:p>
            <w:pPr>
              <w:adjustRightInd w:val="0"/>
              <w:snapToGrid w:val="0"/>
              <w:spacing w:line="240" w:lineRule="atLeast"/>
              <w:rPr>
                <w:rFonts w:hint="eastAsia" w:ascii="仿宋" w:hAnsi="仿宋" w:eastAsia="仿宋" w:cs="仿宋"/>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2</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对于符合人行相关政策要求的企业防疫产品应急需求，给予专项优惠利率支持，确保贷款利率低于同期贷款市场报价利率水平，纳入市经信等相关部门重点企业名单的，在此基础上至少再低30%，贷款利率在3%以下，可以采用信用贷款方式。</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84" w:type="dxa"/>
            <w:vMerge w:val="continue"/>
            <w:noWrap w:val="0"/>
            <w:vAlign w:val="center"/>
          </w:tcPr>
          <w:p>
            <w:pPr>
              <w:adjustRightInd w:val="0"/>
              <w:snapToGrid w:val="0"/>
              <w:spacing w:line="240" w:lineRule="atLeast"/>
              <w:rPr>
                <w:rFonts w:hint="eastAsia" w:ascii="仿宋" w:hAnsi="仿宋" w:eastAsia="仿宋" w:cs="仿宋"/>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3</w:t>
            </w:r>
          </w:p>
        </w:tc>
        <w:tc>
          <w:tcPr>
            <w:tcW w:w="9480" w:type="dxa"/>
            <w:noWrap w:val="0"/>
            <w:vAlign w:val="center"/>
          </w:tcPr>
          <w:p>
            <w:pPr>
              <w:adjustRightInd w:val="0"/>
              <w:snapToGrid w:val="0"/>
              <w:spacing w:line="240" w:lineRule="atLeast"/>
              <w:rPr>
                <w:rFonts w:hint="eastAsia" w:ascii="仿宋_GB2312" w:hAnsi="方正小标宋简体" w:eastAsia="仿宋_GB2312" w:cs="方正小标宋简体"/>
                <w:szCs w:val="21"/>
              </w:rPr>
            </w:pPr>
            <w:r>
              <w:rPr>
                <w:rFonts w:hint="eastAsia" w:ascii="仿宋_GB2312" w:hAnsi="仿宋" w:eastAsia="仿宋_GB2312" w:cs="仿宋"/>
                <w:szCs w:val="21"/>
                <w:shd w:val="clear" w:color="auto" w:fill="FFFFFF"/>
              </w:rPr>
              <w:t>市内银行法人机构对2020年4月30日前到期小微企业贷款可实行无还本续贷，续贷期限3个月。</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84" w:type="dxa"/>
            <w:vMerge w:val="continue"/>
            <w:noWrap w:val="0"/>
            <w:vAlign w:val="center"/>
          </w:tcPr>
          <w:p>
            <w:pPr>
              <w:adjustRightInd w:val="0"/>
              <w:snapToGrid w:val="0"/>
              <w:spacing w:line="240" w:lineRule="atLeast"/>
              <w:rPr>
                <w:rFonts w:hint="eastAsia" w:ascii="仿宋" w:hAnsi="仿宋" w:eastAsia="仿宋" w:cs="仿宋"/>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4</w:t>
            </w:r>
          </w:p>
        </w:tc>
        <w:tc>
          <w:tcPr>
            <w:tcW w:w="9480" w:type="dxa"/>
            <w:noWrap w:val="0"/>
            <w:vAlign w:val="center"/>
          </w:tcPr>
          <w:p>
            <w:pPr>
              <w:adjustRightInd w:val="0"/>
              <w:snapToGrid w:val="0"/>
              <w:spacing w:line="240" w:lineRule="atLeast"/>
              <w:rPr>
                <w:rFonts w:hint="eastAsia" w:ascii="仿宋_GB2312" w:hAnsi="方正小标宋简体" w:eastAsia="仿宋_GB2312" w:cs="方正小标宋简体"/>
                <w:szCs w:val="21"/>
              </w:rPr>
            </w:pPr>
            <w:r>
              <w:rPr>
                <w:rFonts w:hint="eastAsia" w:ascii="仿宋_GB2312" w:hAnsi="仿宋" w:eastAsia="仿宋_GB2312" w:cs="仿宋"/>
                <w:szCs w:val="21"/>
                <w:shd w:val="clear" w:color="auto" w:fill="FFFFFF"/>
              </w:rPr>
              <w:t>6月底前对城乡小额贷款保证保险、建设工程综合保险、进口关税保证保险等险种的平均费率同比下降20%以上。如出口企业资金困难，适当延后保费缴纳时间，最长不超过3个月。</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484" w:type="dxa"/>
            <w:vMerge w:val="continue"/>
            <w:noWrap w:val="0"/>
            <w:vAlign w:val="center"/>
          </w:tcPr>
          <w:p>
            <w:pPr>
              <w:adjustRightInd w:val="0"/>
              <w:snapToGrid w:val="0"/>
              <w:spacing w:line="240" w:lineRule="atLeast"/>
              <w:rPr>
                <w:rFonts w:hint="eastAsia" w:ascii="仿宋" w:hAnsi="仿宋" w:eastAsia="仿宋" w:cs="仿宋"/>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5</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宁波股权交易中心免收小微企业2020年度挂牌服务费、托管登记服务费、开户服务费和交易过户费。</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484" w:type="dxa"/>
            <w:vMerge w:val="continue"/>
            <w:noWrap w:val="0"/>
            <w:vAlign w:val="center"/>
          </w:tcPr>
          <w:p>
            <w:pPr>
              <w:adjustRightInd w:val="0"/>
              <w:snapToGrid w:val="0"/>
              <w:spacing w:line="240" w:lineRule="atLeast"/>
              <w:rPr>
                <w:rFonts w:hint="eastAsia" w:ascii="仿宋_GB2312" w:hAnsi="方正小标宋简体" w:eastAsia="仿宋_GB2312" w:cs="方正小标宋简体"/>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6</w:t>
            </w:r>
          </w:p>
        </w:tc>
        <w:tc>
          <w:tcPr>
            <w:tcW w:w="9480" w:type="dxa"/>
            <w:noWrap w:val="0"/>
            <w:vAlign w:val="center"/>
          </w:tcPr>
          <w:p>
            <w:pPr>
              <w:adjustRightInd w:val="0"/>
              <w:snapToGrid w:val="0"/>
              <w:spacing w:line="240" w:lineRule="atLeast"/>
              <w:rPr>
                <w:rFonts w:hint="eastAsia" w:ascii="仿宋_GB2312" w:hAnsi="方正小标宋简体" w:eastAsia="仿宋_GB2312" w:cs="方正小标宋简体"/>
                <w:szCs w:val="21"/>
              </w:rPr>
            </w:pPr>
            <w:r>
              <w:rPr>
                <w:rFonts w:hint="eastAsia" w:ascii="仿宋_GB2312" w:hAnsi="仿宋" w:eastAsia="仿宋_GB2312" w:cs="仿宋"/>
                <w:szCs w:val="21"/>
                <w:shd w:val="clear" w:color="auto" w:fill="FFFFFF"/>
              </w:rPr>
              <w:t>对在我区参加社会保险并按规定履行参保缴费义务，受疫情影响正常生产经营遇到暂时性困难的企业，临时性下浮社会保险缴费，下浮标准相当于企业应缴纳社会保险费单位缴费部分的2个月额度。继续对近3年新上规模小微企业临时性下浮基本养老保险、基本医疗保险1个月单位缴费比例。</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484" w:type="dxa"/>
            <w:vMerge w:val="continue"/>
            <w:noWrap w:val="0"/>
            <w:vAlign w:val="center"/>
          </w:tcPr>
          <w:p>
            <w:pPr>
              <w:adjustRightInd w:val="0"/>
              <w:snapToGrid w:val="0"/>
              <w:spacing w:line="240" w:lineRule="atLeast"/>
              <w:rPr>
                <w:rFonts w:hint="eastAsia" w:ascii="方正小标宋简体" w:hAnsi="方正小标宋简体" w:eastAsia="方正小标宋简体" w:cs="方正小标宋简体"/>
                <w:szCs w:val="21"/>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7</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对承租国有资产类经营用房的中小企业，免收2个月房租。</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484" w:type="dxa"/>
            <w:noWrap w:val="0"/>
            <w:vAlign w:val="center"/>
          </w:tcPr>
          <w:p>
            <w:pPr>
              <w:adjustRightInd w:val="0"/>
              <w:snapToGrid w:val="0"/>
              <w:spacing w:line="240" w:lineRule="atLeast"/>
              <w:rPr>
                <w:rFonts w:hint="eastAsia" w:ascii="仿宋_GB2312" w:hAnsi="方正小标宋简体" w:eastAsia="仿宋_GB2312" w:cs="方正小标宋简体"/>
                <w:szCs w:val="21"/>
              </w:rPr>
            </w:pPr>
            <w:r>
              <w:rPr>
                <w:rFonts w:hint="eastAsia" w:ascii="仿宋_GB2312" w:eastAsia="仿宋_GB2312"/>
                <w:spacing w:val="-4"/>
                <w:szCs w:val="21"/>
              </w:rPr>
              <w:t>《中共宁波市委宁波市人民政府关于促进企业复工复产的若干意见》（甬党发〔</w:t>
            </w:r>
            <w:r>
              <w:rPr>
                <w:rFonts w:ascii="仿宋_GB2312" w:eastAsia="仿宋_GB2312"/>
                <w:spacing w:val="-4"/>
                <w:szCs w:val="21"/>
              </w:rPr>
              <w:t>2020</w:t>
            </w:r>
            <w:r>
              <w:rPr>
                <w:rFonts w:hint="eastAsia" w:ascii="仿宋_GB2312" w:eastAsia="仿宋_GB2312"/>
                <w:spacing w:val="-4"/>
                <w:szCs w:val="21"/>
              </w:rPr>
              <w:t>〕</w:t>
            </w:r>
            <w:r>
              <w:rPr>
                <w:rFonts w:ascii="仿宋_GB2312" w:eastAsia="仿宋_GB2312"/>
                <w:spacing w:val="-4"/>
                <w:szCs w:val="21"/>
              </w:rPr>
              <w:t>4</w:t>
            </w:r>
            <w:r>
              <w:rPr>
                <w:rFonts w:hint="eastAsia" w:ascii="仿宋_GB2312" w:eastAsia="仿宋_GB2312"/>
                <w:spacing w:val="-4"/>
                <w:szCs w:val="21"/>
              </w:rPr>
              <w:t>号）</w:t>
            </w: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8</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企业电价、水价、气价切实执行省发展改革委《关于新冠肺炎疫情防控期间临时降低企业用气用水用电价格的通知》（浙发改价格〔2020〕22号）文件减免政策。对企业生产经营用电、用水、用气实行“欠费不停供”，所欠费用允许企业在疫情解除后3个月内补缴。</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84"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方正小标宋简体" w:eastAsia="仿宋_GB2312" w:cs="方正小标宋简体"/>
                <w:b/>
                <w:bCs/>
                <w:szCs w:val="21"/>
              </w:rPr>
              <w:t>政策来源</w:t>
            </w: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b/>
                <w:bCs/>
                <w:spacing w:val="-20"/>
                <w:szCs w:val="21"/>
              </w:rPr>
              <w:t>序号</w:t>
            </w:r>
          </w:p>
        </w:tc>
        <w:tc>
          <w:tcPr>
            <w:tcW w:w="9480"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方正小标宋简体" w:eastAsia="仿宋_GB2312" w:cs="方正小标宋简体"/>
                <w:b/>
                <w:bCs/>
                <w:szCs w:val="21"/>
              </w:rPr>
              <w:t>政策内容</w:t>
            </w:r>
          </w:p>
        </w:tc>
        <w:tc>
          <w:tcPr>
            <w:tcW w:w="1087"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方正小标宋简体" w:eastAsia="仿宋_GB2312" w:cs="方正小标宋简体"/>
                <w:b/>
                <w:bCs/>
                <w:szCs w:val="21"/>
              </w:rPr>
              <w:t>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484" w:type="dxa"/>
            <w:vMerge w:val="restart"/>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_GB2312" w:eastAsia="仿宋_GB2312" w:cs="仿宋_GB2312"/>
                <w:szCs w:val="21"/>
              </w:rPr>
              <w:t>《宁波市北仑区人民政府关于打赢疫情防控阻击战帮扶中小企业共渡难关的实施意见》（仑政</w:t>
            </w:r>
            <w:r>
              <w:rPr>
                <w:rFonts w:hint="eastAsia" w:ascii="仿宋_GB2312" w:eastAsia="仿宋_GB2312"/>
                <w:spacing w:val="-4"/>
                <w:szCs w:val="21"/>
              </w:rPr>
              <w:t>〔</w:t>
            </w:r>
            <w:r>
              <w:rPr>
                <w:rFonts w:ascii="仿宋_GB2312" w:eastAsia="仿宋_GB2312"/>
                <w:spacing w:val="-4"/>
                <w:szCs w:val="21"/>
              </w:rPr>
              <w:t>2020</w:t>
            </w:r>
            <w:r>
              <w:rPr>
                <w:rFonts w:hint="eastAsia" w:ascii="仿宋_GB2312" w:eastAsia="仿宋_GB2312"/>
                <w:spacing w:val="-4"/>
                <w:szCs w:val="21"/>
              </w:rPr>
              <w:t>〕</w:t>
            </w:r>
            <w:r>
              <w:rPr>
                <w:rFonts w:hint="eastAsia" w:ascii="仿宋_GB2312" w:hAnsi="仿宋_GB2312" w:eastAsia="仿宋_GB2312" w:cs="仿宋_GB2312"/>
                <w:szCs w:val="21"/>
              </w:rPr>
              <w:t>5号）</w:t>
            </w: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9</w:t>
            </w:r>
          </w:p>
        </w:tc>
        <w:tc>
          <w:tcPr>
            <w:tcW w:w="9480" w:type="dxa"/>
            <w:noWrap w:val="0"/>
            <w:vAlign w:val="center"/>
          </w:tcPr>
          <w:p>
            <w:pPr>
              <w:adjustRightInd w:val="0"/>
              <w:snapToGrid w:val="0"/>
              <w:spacing w:line="240" w:lineRule="atLeast"/>
              <w:rPr>
                <w:rFonts w:hint="eastAsia" w:ascii="仿宋_GB2312" w:hAnsi="仿宋" w:eastAsia="仿宋_GB2312" w:cs="仿宋"/>
                <w:spacing w:val="-8"/>
                <w:szCs w:val="21"/>
                <w:shd w:val="clear" w:color="auto" w:fill="FFFFFF"/>
              </w:rPr>
            </w:pPr>
            <w:r>
              <w:rPr>
                <w:rFonts w:hint="eastAsia" w:ascii="仿宋_GB2312" w:hAnsi="仿宋" w:eastAsia="仿宋_GB2312" w:cs="仿宋"/>
                <w:spacing w:val="-8"/>
                <w:szCs w:val="21"/>
                <w:shd w:val="clear" w:color="auto" w:fill="FFFFFF"/>
              </w:rPr>
              <w:t>加强对中小企业的转贷支持，受疫情影响的困难企业申请转贷的，经行业主管部门审核同意后给予无偿转贷的优惠。</w:t>
            </w:r>
          </w:p>
        </w:tc>
        <w:tc>
          <w:tcPr>
            <w:tcW w:w="1087" w:type="dxa"/>
            <w:noWrap w:val="0"/>
            <w:vAlign w:val="center"/>
          </w:tcPr>
          <w:p>
            <w:pPr>
              <w:adjustRightInd w:val="0"/>
              <w:snapToGrid w:val="0"/>
              <w:spacing w:line="240" w:lineRule="atLeast"/>
              <w:jc w:val="center"/>
              <w:rPr>
                <w:szCs w:val="21"/>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484" w:type="dxa"/>
            <w:vMerge w:val="continue"/>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10</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鼓励疫情防疫类及相关配套物资生产企业扩大产能，在政策执行期间实施技改项目的，按照区内现行技改补助政策上浮50%给予补助。</w:t>
            </w:r>
          </w:p>
        </w:tc>
        <w:tc>
          <w:tcPr>
            <w:tcW w:w="1087"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4" w:type="dxa"/>
            <w:vMerge w:val="continue"/>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11</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对不裁员或少裁员的中小参保企业，可返还其上年度实际缴纳失业保险费的50%。</w:t>
            </w:r>
          </w:p>
        </w:tc>
        <w:tc>
          <w:tcPr>
            <w:tcW w:w="1087"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非公企业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4" w:type="dxa"/>
            <w:vMerge w:val="continue"/>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p>
        </w:tc>
        <w:tc>
          <w:tcPr>
            <w:tcW w:w="840" w:type="dxa"/>
            <w:noWrap w:val="0"/>
            <w:vAlign w:val="center"/>
          </w:tcPr>
          <w:p>
            <w:pPr>
              <w:adjustRightInd w:val="0"/>
              <w:snapToGrid w:val="0"/>
              <w:spacing w:line="240" w:lineRule="atLeast"/>
              <w:jc w:val="center"/>
              <w:rPr>
                <w:rFonts w:hint="eastAsia" w:ascii="仿宋_GB2312" w:hAnsi="方正小标宋简体" w:eastAsia="仿宋_GB2312" w:cs="方正小标宋简体"/>
                <w:spacing w:val="-20"/>
                <w:szCs w:val="21"/>
              </w:rPr>
            </w:pPr>
            <w:r>
              <w:rPr>
                <w:rFonts w:hint="eastAsia" w:ascii="仿宋_GB2312" w:hAnsi="方正小标宋简体" w:eastAsia="仿宋_GB2312" w:cs="方正小标宋简体"/>
                <w:spacing w:val="-20"/>
                <w:szCs w:val="21"/>
              </w:rPr>
              <w:t>12</w:t>
            </w:r>
          </w:p>
        </w:tc>
        <w:tc>
          <w:tcPr>
            <w:tcW w:w="9480" w:type="dxa"/>
            <w:noWrap w:val="0"/>
            <w:vAlign w:val="center"/>
          </w:tcPr>
          <w:p>
            <w:pPr>
              <w:adjustRightInd w:val="0"/>
              <w:snapToGrid w:val="0"/>
              <w:spacing w:line="240" w:lineRule="atLeast"/>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对为宁波市内各政府部门采购进口医疗防护物资的企业给予30%的信保补助。</w:t>
            </w:r>
          </w:p>
        </w:tc>
        <w:tc>
          <w:tcPr>
            <w:tcW w:w="1087" w:type="dxa"/>
            <w:noWrap w:val="0"/>
            <w:vAlign w:val="center"/>
          </w:tcPr>
          <w:p>
            <w:pPr>
              <w:adjustRightInd w:val="0"/>
              <w:snapToGrid w:val="0"/>
              <w:spacing w:line="240" w:lineRule="atLeast"/>
              <w:jc w:val="center"/>
              <w:rPr>
                <w:rFonts w:hint="eastAsia" w:ascii="仿宋_GB2312" w:hAnsi="仿宋" w:eastAsia="仿宋_GB2312" w:cs="仿宋"/>
                <w:szCs w:val="21"/>
                <w:shd w:val="clear" w:color="auto" w:fill="FFFFFF"/>
              </w:rPr>
            </w:pPr>
            <w:r>
              <w:rPr>
                <w:rFonts w:hint="eastAsia" w:ascii="仿宋_GB2312" w:hAnsi="仿宋" w:eastAsia="仿宋_GB2312" w:cs="仿宋"/>
                <w:szCs w:val="21"/>
                <w:shd w:val="clear" w:color="auto" w:fill="FFFFFF"/>
              </w:rPr>
              <w:t>非公企业</w:t>
            </w:r>
          </w:p>
        </w:tc>
      </w:tr>
    </w:tbl>
    <w:p>
      <w:pPr>
        <w:rPr>
          <w:rFonts w:ascii="方正小标宋简体" w:hAnsi="方正小标宋简体" w:eastAsia="方正小标宋简体" w:cs="方正小标宋简体"/>
          <w:spacing w:val="-10"/>
          <w:sz w:val="44"/>
          <w:szCs w:val="44"/>
        </w:rPr>
        <w:sectPr>
          <w:pgSz w:w="16838" w:h="11906" w:orient="landscape"/>
          <w:pgMar w:top="1531" w:right="1417" w:bottom="1531" w:left="1417" w:header="851" w:footer="1417" w:gutter="0"/>
          <w:pgNumType w:fmt="numberInDash"/>
          <w:cols w:space="720" w:num="1"/>
          <w:docGrid w:type="linesAndChars" w:linePitch="312" w:charSpace="44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9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Hey吴云强</cp:lastModifiedBy>
  <dcterms:modified xsi:type="dcterms:W3CDTF">2020-03-31T00:50:33Z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