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ind w:left="-129" w:leftChars="-46" w:firstLine="1"/>
        <w:jc w:val="left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GB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3</w:t>
      </w:r>
    </w:p>
    <w:p>
      <w:pPr>
        <w:pStyle w:val="5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2020年度海曙区工业领域产业</w:t>
      </w:r>
    </w:p>
    <w:p>
      <w:pPr>
        <w:pStyle w:val="5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  <w:t>转型升级工作目标任务分解表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915"/>
        <w:gridCol w:w="1036"/>
        <w:gridCol w:w="1131"/>
        <w:gridCol w:w="1131"/>
        <w:gridCol w:w="892"/>
        <w:gridCol w:w="886"/>
        <w:gridCol w:w="875"/>
        <w:gridCol w:w="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镇（乡）、街道和园区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淘汰落后产能涉及企业数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整治提升“低散乱”企业（作坊）数（家）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节能环保产业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增加值增速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时尚纺织服装产业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增加值增速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（%）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低效工业企业提升达标（家）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低效工业用地縢退利用（亩）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规上工业亩均税收增速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（%）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规上工业亩均增加值增速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横街镇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鄞江镇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洞桥镇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章水镇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龙观乡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月湖街道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江厦街道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南门街道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鼓楼街道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望春街道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备注：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淘汰落后工作需提供验收意见表、拆前拆后对比照片和设备去向证明材料；</w:t>
      </w:r>
    </w:p>
    <w:p>
      <w:p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“低散乱”整治提升工作需提供整治提升前后对比照片；</w:t>
      </w:r>
    </w:p>
    <w:p>
      <w:p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.省标准低效企业：注册满5年且连续3年亩均税收1万元以下；</w:t>
      </w:r>
    </w:p>
    <w:p>
      <w:pPr>
        <w:ind w:left="716" w:leftChars="170" w:hanging="240" w:hangingChars="100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. 2020年低效企业提升达标目标任务（家）=省标准低效企业家数+2018年度评价亩税5万以下规上企业家数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=65家；</w:t>
      </w:r>
    </w:p>
    <w:p>
      <w:pPr>
        <w:ind w:left="716" w:leftChars="170" w:hanging="240" w:hangingChars="100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. 低效工业用地腾退目标任务（亩）=省标准低效企业评价面积+2018年度亩税5万元以下规上企业评价面积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1124.04亩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；</w:t>
      </w:r>
    </w:p>
    <w:p>
      <w:pPr>
        <w:ind w:left="716" w:leftChars="170" w:hanging="240" w:hangingChars="100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6.低效企业提升达标途径：亩均税收提升到标准以上或依法退出，具体包括：（1）政府收储；（2）税收辅导；（3）追加投资；（4）破产重整；（5）联合重组；（6）转让出租；（7）整合入园；（8）依法关停；（9）异地搬迁。</w:t>
      </w:r>
    </w:p>
    <w:p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76C90"/>
    <w:rsid w:val="194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ind w:firstLine="600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2020-07-01T03:03:00Z</dcterms:created>
  <dc:creator>A.朱朱（恋慕美衣&amp;美妆）</dc:creator>
  <cp:lastModifiedBy>A.朱朱（恋慕美衣&amp;美妆）</cp:lastModifiedBy>
  <dcterms:modified xsi:type="dcterms:W3CDTF">2020-07-01T03:03:34Z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