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仿宋" w:hAnsi="仿宋" w:eastAsia="仿宋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潜力企业评选指标及评分标准</w:t>
      </w:r>
    </w:p>
    <w:bookmarkEnd w:id="0"/>
    <w:tbl>
      <w:tblPr>
        <w:tblStyle w:val="2"/>
        <w:tblW w:w="8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6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产业认定（10分）</w:t>
            </w:r>
          </w:p>
        </w:tc>
        <w:tc>
          <w:tcPr>
            <w:tcW w:w="6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企业所属产业归属数字经济核心产业，得10分；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归属市“</w:t>
            </w:r>
            <w:r>
              <w:rPr>
                <w:rFonts w:ascii="仿宋_GB2312" w:hAnsi="仿宋_GB2312" w:eastAsia="仿宋_GB2312" w:cs="仿宋_GB2312"/>
                <w:sz w:val="24"/>
              </w:rPr>
              <w:t>246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”产业或者区“6</w:t>
            </w:r>
            <w:r>
              <w:rPr>
                <w:rFonts w:ascii="仿宋_GB2312" w:hAnsi="仿宋_GB2312" w:eastAsia="仿宋_GB2312" w:cs="仿宋_GB2312"/>
                <w:sz w:val="24"/>
              </w:rPr>
              <w:t>42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”产业，得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归属其他产业按情况赋分。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增加值</w:t>
            </w:r>
          </w:p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（20分）</w:t>
            </w:r>
          </w:p>
        </w:tc>
        <w:tc>
          <w:tcPr>
            <w:tcW w:w="694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1.增加值（X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共8分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＜2000万，得2分；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万，得4分；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5000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万，得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.增加值增长率（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  共12分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，得1分；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20%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，得4分；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30%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，得8分；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，得12分。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纳税额</w:t>
            </w:r>
          </w:p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（20分）</w:t>
            </w:r>
          </w:p>
        </w:tc>
        <w:tc>
          <w:tcPr>
            <w:tcW w:w="694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.纳税额（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）共8分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＜3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万，得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＜5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万，得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＜8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万，得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万≤</w:t>
            </w:r>
            <w:r>
              <w:rPr>
                <w:rFonts w:ascii="仿宋_GB2312" w:hAnsi="仿宋_GB2312" w:eastAsia="仿宋_GB2312" w:cs="仿宋_GB2312"/>
                <w:sz w:val="24"/>
              </w:rPr>
              <w:t>X，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得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2.纳税额增长共12分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20%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＜</w:t>
            </w:r>
            <w:r>
              <w:rPr>
                <w:rFonts w:ascii="仿宋_GB2312" w:hAnsi="仿宋_GB2312" w:eastAsia="仿宋_GB2312" w:cs="仿宋_GB2312"/>
                <w:sz w:val="24"/>
              </w:rPr>
              <w:t>30%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，得8分；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ascii="仿宋_GB2312" w:hAnsi="仿宋_GB2312" w:eastAsia="仿宋_GB2312" w:cs="仿宋_GB2312"/>
                <w:sz w:val="24"/>
              </w:rPr>
              <w:t>Y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，得12分。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附加分</w:t>
            </w:r>
          </w:p>
          <w:p>
            <w:pPr>
              <w:tabs>
                <w:tab w:val="left" w:pos="2952"/>
              </w:tabs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（最高加10分）</w:t>
            </w:r>
          </w:p>
        </w:tc>
        <w:tc>
          <w:tcPr>
            <w:tcW w:w="694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80" w:lineRule="exact"/>
              <w:ind w:left="240" w:hanging="240" w:hanging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1.当年度授权（自主申请获得）2个（含）以上发明专利，加1分；4个（含）以上发明专利，加2分。</w:t>
            </w:r>
          </w:p>
          <w:p>
            <w:pPr>
              <w:tabs>
                <w:tab w:val="left" w:pos="2952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2.主导产品上年度在国内市场占有率位居前10位，加8分。</w:t>
            </w:r>
          </w:p>
          <w:p>
            <w:pPr>
              <w:tabs>
                <w:tab w:val="left" w:pos="2952"/>
              </w:tabs>
              <w:spacing w:line="2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主导产品上年度在省内市场占有率位居前5位，加5分。</w:t>
            </w:r>
          </w:p>
          <w:p>
            <w:pPr>
              <w:tabs>
                <w:tab w:val="left" w:pos="2952"/>
              </w:tabs>
              <w:spacing w:line="2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主导产品上年度在市内市场占有率位居前3位，加2分。</w:t>
            </w:r>
          </w:p>
          <w:p>
            <w:pPr>
              <w:tabs>
                <w:tab w:val="left" w:pos="2952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企业重大事项符合条件需要加分或者减分的由区政府研究决定。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95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否定项</w:t>
            </w:r>
          </w:p>
        </w:tc>
        <w:tc>
          <w:tcPr>
            <w:tcW w:w="6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有如下情况的企业取消参评资格：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在应急管理领域被责令停产停业的企业；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被列入“信用中国、信用宁波”网站公布的“黑名单”的企业；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年度内因安全生产事故累计造成2人以上死亡的企业；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年度内被应急、消防部门事前行政处罚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（含）</w:t>
            </w:r>
            <w:r>
              <w:rPr>
                <w:rFonts w:ascii="仿宋_GB2312" w:hAnsi="仿宋_GB2312" w:eastAsia="仿宋_GB2312" w:cs="仿宋_GB2312"/>
                <w:sz w:val="24"/>
              </w:rPr>
              <w:t>以上的企业，年度内发生一般火灾事故2次(含)以上或亡人火灾事故的企业；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生态环境有失信行为的企业；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有如下情况的企业进行扣分：</w:t>
            </w:r>
          </w:p>
          <w:p>
            <w:pPr>
              <w:spacing w:line="260" w:lineRule="exact"/>
              <w:ind w:left="72" w:hanging="72" w:hangingChars="3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年度内对因安全生产事故造成1人死亡的企业，扣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sz w:val="24"/>
              </w:rPr>
              <w:t>分；</w:t>
            </w:r>
          </w:p>
          <w:p>
            <w:pPr>
              <w:tabs>
                <w:tab w:val="left" w:pos="2952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</w:rPr>
              <w:t>年度内被应急、消防部门事前行政处罚1次的企业，或发生一般火灾事故1次的企业，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年度内因发生生态环境违法行为而受到行政处罚的1次的企业，</w:t>
            </w:r>
            <w:r>
              <w:rPr>
                <w:rFonts w:ascii="仿宋_GB2312" w:hAnsi="仿宋_GB2312" w:eastAsia="仿宋_GB2312" w:cs="仿宋_GB2312"/>
                <w:sz w:val="24"/>
              </w:rPr>
              <w:t>扣2分</w:t>
            </w:r>
          </w:p>
        </w:tc>
      </w:tr>
    </w:tbl>
    <w:p/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B17AD"/>
    <w:rsid w:val="2D7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2020-08-14T06:31:00Z</dcterms:created>
  <dc:creator>Irene Hong</dc:creator>
  <cp:lastModifiedBy>Irene Hong</cp:lastModifiedBy>
  <dcterms:modified xsi:type="dcterms:W3CDTF">2020-08-14T06:33:40Z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