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指标说明</w:t>
      </w:r>
    </w:p>
    <w:p>
      <w:pPr>
        <w:spacing w:line="3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1.评选时企业的纳税额包括企业所得税、企业实缴增值税（不扣除出口退税实际发生数）实际入库数、免抵税款。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留地方实际贡献部分指企业所得税和企业实缴增值税（扣除2014年出口退税基数）留区贡献部分。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2.当年新投产合并主体企业（包括上年新投产且上年营业收入低于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万元的企业）不计算增幅和能耗指标，所得分值折合为百分制。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参评企业的营业收入、增加值、能耗、研发投入等指标由统计部门确认，其中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研发投入指标取当年度研发费用（工业快报）与上年度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研究开发费用（科技年报）的均值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。税务数据由财税部门提供。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4.一次性税收，查补、欠缴税费的入库数不作为考评数和基数。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5.相关数据统计时间以财政年度为准，即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6.产业归属及产业赋分由区经信局认定。  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7.一年内纯设备投入是指当年企业实际技改纯设备、技术、软件投入金额（由区经信局牵头委托第三方机构认定）。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8.土地面积由区经信局牵头委托第三方机构认定。①当年</w:t>
      </w:r>
      <w:r>
        <w:rPr>
          <w:rFonts w:ascii="仿宋_GB2312" w:hAnsi="仿宋_GB2312" w:eastAsia="仿宋_GB2312" w:cs="仿宋_GB2312"/>
          <w:sz w:val="32"/>
          <w:szCs w:val="32"/>
        </w:rPr>
        <w:t>新出租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面积中，</w:t>
      </w:r>
      <w:r>
        <w:rPr>
          <w:rFonts w:ascii="仿宋_GB2312" w:hAnsi="仿宋_GB2312" w:eastAsia="仿宋_GB2312" w:cs="仿宋_GB2312"/>
          <w:sz w:val="32"/>
          <w:szCs w:val="32"/>
        </w:rPr>
        <w:t>租赁对象为工业企业，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</w:t>
      </w:r>
      <w:r>
        <w:rPr>
          <w:rFonts w:ascii="仿宋_GB2312" w:hAnsi="仿宋_GB2312" w:eastAsia="仿宋_GB2312" w:cs="仿宋_GB2312"/>
          <w:sz w:val="32"/>
          <w:szCs w:val="32"/>
        </w:rPr>
        <w:t>亩均税收高于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</w:t>
      </w:r>
      <w:r>
        <w:rPr>
          <w:rFonts w:ascii="仿宋_GB2312" w:hAnsi="仿宋_GB2312" w:eastAsia="仿宋_GB2312" w:cs="仿宋_GB2312"/>
          <w:sz w:val="32"/>
          <w:szCs w:val="32"/>
        </w:rPr>
        <w:t>全区规上工业亩均税收平均值50%以上的；历年出租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面积中，</w:t>
      </w:r>
      <w:r>
        <w:rPr>
          <w:rFonts w:ascii="仿宋_GB2312" w:hAnsi="仿宋_GB2312" w:eastAsia="仿宋_GB2312" w:cs="仿宋_GB2312"/>
          <w:sz w:val="32"/>
          <w:szCs w:val="32"/>
        </w:rPr>
        <w:t>租赁对象为工业企业，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</w:t>
      </w:r>
      <w:r>
        <w:rPr>
          <w:rFonts w:ascii="仿宋_GB2312" w:hAnsi="仿宋_GB2312" w:eastAsia="仿宋_GB2312" w:cs="仿宋_GB2312"/>
          <w:sz w:val="32"/>
          <w:szCs w:val="32"/>
        </w:rPr>
        <w:t>亩均税收高于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</w:t>
      </w:r>
      <w:r>
        <w:rPr>
          <w:rFonts w:ascii="仿宋_GB2312" w:hAnsi="仿宋_GB2312" w:eastAsia="仿宋_GB2312" w:cs="仿宋_GB2312"/>
          <w:sz w:val="32"/>
          <w:szCs w:val="32"/>
        </w:rPr>
        <w:t>全区规上工业亩均税收的，面积予以剔除；</w:t>
      </w:r>
      <w:r>
        <w:rPr>
          <w:rFonts w:hint="eastAsia" w:ascii="仿宋_GB2312" w:hAnsi="仿宋_GB2312" w:eastAsia="仿宋_GB2312" w:cs="仿宋_GB2312"/>
          <w:sz w:val="32"/>
          <w:szCs w:val="32"/>
        </w:rPr>
        <w:t>出租运营</w:t>
      </w:r>
      <w:r>
        <w:rPr>
          <w:rFonts w:ascii="仿宋_GB2312" w:hAnsi="仿宋_GB2312" w:eastAsia="仿宋_GB2312" w:cs="仿宋_GB2312"/>
          <w:sz w:val="32"/>
          <w:szCs w:val="32"/>
        </w:rPr>
        <w:t>小微企业园</w:t>
      </w:r>
      <w:r>
        <w:rPr>
          <w:rFonts w:hint="eastAsia" w:ascii="仿宋_GB2312" w:hAnsi="仿宋_GB2312" w:eastAsia="仿宋_GB2312" w:cs="仿宋_GB2312"/>
          <w:sz w:val="32"/>
          <w:szCs w:val="32"/>
        </w:rPr>
        <w:t>且经</w:t>
      </w:r>
      <w:r>
        <w:rPr>
          <w:rFonts w:ascii="仿宋_GB2312" w:hAnsi="仿宋_GB2312" w:eastAsia="仿宋_GB2312" w:cs="仿宋_GB2312"/>
          <w:sz w:val="32"/>
          <w:szCs w:val="32"/>
        </w:rPr>
        <w:t>省级认定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，面积予以剔除；出租给政府、国有机构以及政府批准的医院，面积予以剔除</w:t>
      </w:r>
      <w:r>
        <w:rPr>
          <w:rFonts w:hint="eastAsia" w:ascii="仿宋_GB2312" w:hAnsi="仿宋_GB2312" w:eastAsia="仿宋_GB2312" w:cs="仿宋_GB2312"/>
          <w:sz w:val="32"/>
          <w:szCs w:val="32"/>
        </w:rPr>
        <w:t>；②参评企业新租赁的土地按照租赁合同时间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后计入企业实际使用面积中，且按月折算；③新建厂房竣工验收不足一年的不计入占地面积核查(同时，新建厂房免计入面积时间最长不得超过供地后36个月，超过的按完整年度全额计入占地面积)；④企业注册在江北，但是未占用江北土地等资源的，经济数据（产值、营收、税收等）反映在江北的，营业收入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以上且纳税额</w:t>
      </w:r>
      <w:r>
        <w:rPr>
          <w:rFonts w:ascii="仿宋_GB2312" w:hAnsi="仿宋_GB2312" w:eastAsia="仿宋_GB2312" w:cs="仿宋_GB2312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万元（含）以上，亩均纳税额得12分，营收或纳税额未达到上述要求的，亩均纳税额得6分。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9.年度发明专利授权（自主申请获得）数是指企业通过以往自主申请在当年度获得授权的发明专利数量，发明专利所有者为企业；驰名商标是指</w:t>
      </w:r>
      <w:r>
        <w:rPr>
          <w:rFonts w:ascii="仿宋_GB2312" w:hAnsi="仿宋_GB2312" w:eastAsia="仿宋_GB2312" w:cs="仿宋_GB2312"/>
          <w:sz w:val="32"/>
          <w:szCs w:val="32"/>
        </w:rPr>
        <w:t>行政认定的驰名商标。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年度发明专利授权、</w:t>
      </w:r>
      <w:r>
        <w:rPr>
          <w:rFonts w:ascii="仿宋_GB2312" w:hAnsi="仿宋_GB2312" w:eastAsia="仿宋_GB2312" w:cs="仿宋_GB2312"/>
          <w:sz w:val="32"/>
          <w:szCs w:val="32"/>
        </w:rPr>
        <w:t>驰名商标、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标准制定情况和</w:t>
      </w:r>
      <w:r>
        <w:rPr>
          <w:rFonts w:ascii="仿宋_GB2312" w:hAnsi="仿宋_GB2312" w:eastAsia="仿宋_GB2312" w:cs="仿宋_GB2312"/>
          <w:sz w:val="32"/>
          <w:szCs w:val="32"/>
        </w:rPr>
        <w:t>国家级知识产权示范企业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以市场监管局盖章为评分依据。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10.人才引育相关指标及相关基地、工作站、工作室情况以人才办或人社局盖章为评分依据，上市及再融资情况以金融办盖章为评分依据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研发机构、科技进步奖和院士专家工作站以科技局（科协）盖章为评分依据，境外投资额以商务局盖章为评分依据。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  <w:szCs w:val="32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ascii="仿宋_GB2312" w:hAnsi="仿宋_GB2312" w:eastAsia="仿宋_GB2312" w:cs="仿宋_GB2312"/>
          <w:sz w:val="32"/>
          <w:szCs w:val="32"/>
        </w:rPr>
        <w:t>失信行为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的企业包含以下两种：</w:t>
      </w:r>
      <w:r>
        <w:rPr>
          <w:rFonts w:ascii="仿宋_GB2312" w:hAnsi="仿宋_GB2312" w:eastAsia="仿宋_GB2312" w:cs="仿宋_GB2312"/>
          <w:sz w:val="32"/>
          <w:szCs w:val="32"/>
        </w:rPr>
        <w:t>1.发生重大环境污染事故；2.发生恶劣环境违法行为（主观故意环境违法行为如私设暗管等，年度内因环境违法第二次被处罚）。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否定项情况，由各相关职能部门予以反馈、确认。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.主导产品上年度在市场占有率需提供各级行业协会相关证明，采取逢高原则赋分。</w:t>
      </w:r>
    </w:p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37B76"/>
    <w:rsid w:val="7C5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2020-08-14T06:33:00Z</dcterms:created>
  <dc:creator>Irene Hong</dc:creator>
  <cp:lastModifiedBy>Irene Hong</cp:lastModifiedBy>
  <dcterms:modified xsi:type="dcterms:W3CDTF">2020-08-14T06:34:41Z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