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N w:val="0"/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附件2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666666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666666"/>
          <w:kern w:val="0"/>
          <w:sz w:val="32"/>
          <w:szCs w:val="32"/>
          <w:lang w:val="en-US" w:eastAsia="zh-CN"/>
        </w:rPr>
        <w:t>工业科技计划项目“可行性报告提纲”</w:t>
      </w:r>
      <w:bookmarkEnd w:id="0"/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（一）立项的背景和意义；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（二）项目（产品）市场前景和需求预测；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（三）申报单位现有的研究基础、技术条件； 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（四）项目负责人、技术团队研发水平；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（五）需要研发和解决的关键技术、内容和途径；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（六）经费预算投入、来源及使用计划；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（七）年度工作进度和目标；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（八）预期成果及技术、经济指标和社会效益分析；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2211"/>
    <w:rsid w:val="199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2020-08-26T08:24:00Z</dcterms:created>
  <dc:creator>admin20</dc:creator>
  <cp:lastModifiedBy>admin20</cp:lastModifiedBy>
  <dcterms:modified xsi:type="dcterms:W3CDTF">2020-08-26T08:25:05Z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