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
        <w:ind w:left="786"/>
        <w:rPr>
          <w:rFonts w:hint="eastAsia" w:ascii="微软雅黑" w:eastAsia="微软雅黑"/>
        </w:rPr>
      </w:pPr>
      <w:r>
        <w:rPr>
          <w:rFonts w:hint="eastAsia" w:ascii="微软雅黑" w:eastAsia="微软雅黑"/>
        </w:rPr>
        <w:t>附件</w:t>
      </w:r>
    </w:p>
    <w:p>
      <w:pPr>
        <w:pStyle w:val="4"/>
        <w:spacing w:before="15"/>
        <w:rPr>
          <w:rFonts w:ascii="微软雅黑"/>
          <w:sz w:val="28"/>
        </w:rPr>
      </w:pPr>
    </w:p>
    <w:p>
      <w:pPr>
        <w:pStyle w:val="2"/>
        <w:spacing w:line="773" w:lineRule="exact"/>
        <w:ind w:left="2320" w:right="2331"/>
        <w:jc w:val="center"/>
      </w:pPr>
      <w:r>
        <w:t>宁波市文化产业发展专项资金</w:t>
      </w:r>
    </w:p>
    <w:p>
      <w:pPr>
        <w:pStyle w:val="4"/>
        <w:rPr>
          <w:rFonts w:ascii="微软雅黑"/>
          <w:b/>
          <w:sz w:val="58"/>
        </w:rPr>
      </w:pPr>
    </w:p>
    <w:p>
      <w:pPr>
        <w:pStyle w:val="4"/>
        <w:spacing w:before="14"/>
        <w:rPr>
          <w:rFonts w:ascii="微软雅黑"/>
          <w:b/>
          <w:sz w:val="43"/>
        </w:rPr>
      </w:pPr>
    </w:p>
    <w:p>
      <w:pPr>
        <w:spacing w:before="0" w:line="292" w:lineRule="auto"/>
        <w:ind w:left="4709" w:right="4714" w:firstLine="0"/>
        <w:jc w:val="both"/>
        <w:rPr>
          <w:sz w:val="100"/>
        </w:rPr>
      </w:pPr>
      <w:r>
        <w:rPr>
          <w:sz w:val="100"/>
        </w:rPr>
        <w:t>申报指南</w:t>
      </w:r>
    </w:p>
    <w:p>
      <w:pPr>
        <w:pStyle w:val="4"/>
        <w:spacing w:before="4"/>
        <w:rPr>
          <w:sz w:val="141"/>
        </w:rPr>
      </w:pPr>
    </w:p>
    <w:p>
      <w:pPr>
        <w:pStyle w:val="4"/>
        <w:ind w:left="2329" w:right="2314"/>
        <w:jc w:val="center"/>
      </w:pPr>
      <w:r>
        <w:rPr>
          <w:w w:val="85"/>
        </w:rPr>
        <w:t>宁波市文化体制改革和发展工作领导小组办公室</w:t>
      </w:r>
    </w:p>
    <w:p>
      <w:pPr>
        <w:spacing w:after="0"/>
        <w:jc w:val="center"/>
        <w:sectPr>
          <w:pgSz w:w="11910" w:h="16840"/>
          <w:pgMar w:top="1580" w:right="680" w:bottom="1460" w:left="800" w:header="0" w:footer="1271" w:gutter="0"/>
        </w:sectPr>
      </w:pPr>
    </w:p>
    <w:p>
      <w:pPr>
        <w:pStyle w:val="4"/>
        <w:rPr>
          <w:sz w:val="20"/>
        </w:rPr>
      </w:pPr>
    </w:p>
    <w:p>
      <w:pPr>
        <w:pStyle w:val="4"/>
        <w:rPr>
          <w:sz w:val="20"/>
        </w:rPr>
      </w:pPr>
    </w:p>
    <w:p>
      <w:pPr>
        <w:pStyle w:val="4"/>
        <w:rPr>
          <w:sz w:val="20"/>
        </w:rPr>
      </w:pPr>
    </w:p>
    <w:p>
      <w:pPr>
        <w:pStyle w:val="4"/>
        <w:rPr>
          <w:sz w:val="20"/>
        </w:rPr>
      </w:pPr>
    </w:p>
    <w:p>
      <w:pPr>
        <w:pStyle w:val="4"/>
        <w:spacing w:before="12"/>
        <w:rPr>
          <w:sz w:val="29"/>
        </w:rPr>
      </w:pPr>
    </w:p>
    <w:p>
      <w:pPr>
        <w:pStyle w:val="4"/>
        <w:spacing w:before="55"/>
        <w:ind w:left="1427"/>
      </w:pPr>
      <w:r>
        <w:t>项目类别：</w:t>
      </w:r>
    </w:p>
    <w:p>
      <w:pPr>
        <w:pStyle w:val="4"/>
        <w:spacing w:before="190"/>
        <w:ind w:left="1427"/>
      </w:pPr>
      <w:r>
        <w:t>宁波市文化产业发展专项资金扶持项目</w:t>
      </w:r>
    </w:p>
    <w:p>
      <w:pPr>
        <w:pStyle w:val="4"/>
      </w:pPr>
    </w:p>
    <w:p>
      <w:pPr>
        <w:pStyle w:val="4"/>
        <w:spacing w:before="8"/>
        <w:rPr>
          <w:sz w:val="29"/>
        </w:rPr>
      </w:pPr>
    </w:p>
    <w:p>
      <w:pPr>
        <w:pStyle w:val="4"/>
        <w:ind w:left="1427"/>
      </w:pPr>
      <w:r>
        <w:t>注意事项：</w:t>
      </w:r>
    </w:p>
    <w:p>
      <w:pPr>
        <w:pStyle w:val="4"/>
        <w:spacing w:before="191" w:line="350" w:lineRule="auto"/>
        <w:ind w:left="786" w:right="794" w:firstLine="640"/>
        <w:jc w:val="both"/>
      </w:pPr>
      <w:r>
        <w:rPr>
          <w:spacing w:val="6"/>
          <w:w w:val="95"/>
        </w:rPr>
        <w:t xml:space="preserve">申报前请认真阅读《宁波市文化产业发展专项资金管理办 </w:t>
      </w:r>
      <w:r>
        <w:rPr>
          <w:spacing w:val="-12"/>
        </w:rPr>
        <w:t>法》</w:t>
      </w:r>
      <w:r>
        <w:t>（</w:t>
      </w:r>
      <w:r>
        <w:rPr>
          <w:spacing w:val="-4"/>
        </w:rPr>
        <w:t>甬文改办„</w:t>
      </w:r>
      <w:r>
        <w:t>2019‟10</w:t>
      </w:r>
      <w:r>
        <w:rPr>
          <w:spacing w:val="-1"/>
        </w:rPr>
        <w:t xml:space="preserve"> 号、甬财政发„</w:t>
      </w:r>
      <w:r>
        <w:t>2019‟1017</w:t>
      </w:r>
      <w:r>
        <w:rPr>
          <w:spacing w:val="1"/>
        </w:rPr>
        <w:t xml:space="preserve"> 号)、申</w:t>
      </w:r>
      <w:r>
        <w:rPr>
          <w:spacing w:val="-8"/>
        </w:rPr>
        <w:t>报通知及相应申报工作的有关文件规定，申报单位要对申报的各</w:t>
      </w:r>
      <w:r>
        <w:rPr>
          <w:spacing w:val="-12"/>
        </w:rPr>
        <w:t>项内容真实性负责。宁波市文化体制改革和发展工作领导小组办</w:t>
      </w:r>
      <w:r>
        <w:t>公室有权使用申报材料中的所有数据和资料。</w:t>
      </w:r>
    </w:p>
    <w:p>
      <w:pPr>
        <w:spacing w:after="0" w:line="350" w:lineRule="auto"/>
        <w:jc w:val="both"/>
        <w:sectPr>
          <w:pgSz w:w="11910" w:h="16840"/>
          <w:pgMar w:top="1580" w:right="680" w:bottom="1460" w:left="800" w:header="0" w:footer="1271" w:gutter="0"/>
        </w:sectPr>
      </w:pPr>
    </w:p>
    <w:p>
      <w:pPr>
        <w:pStyle w:val="3"/>
        <w:spacing w:before="153" w:line="225" w:lineRule="auto"/>
        <w:ind w:left="4329" w:hanging="2864"/>
      </w:pPr>
      <w:r>
        <w:t>宁波市文化产业发展专项资金扶持项目申报指南</w:t>
      </w:r>
    </w:p>
    <w:p>
      <w:pPr>
        <w:pStyle w:val="4"/>
        <w:spacing w:before="9"/>
        <w:rPr>
          <w:rFonts w:ascii="PMingLiU"/>
          <w:sz w:val="43"/>
        </w:rPr>
      </w:pPr>
    </w:p>
    <w:p>
      <w:pPr>
        <w:pStyle w:val="4"/>
        <w:ind w:left="1427"/>
        <w:rPr>
          <w:rFonts w:hint="eastAsia" w:ascii="微软雅黑" w:eastAsia="微软雅黑"/>
        </w:rPr>
      </w:pPr>
      <w:r>
        <w:rPr>
          <w:rFonts w:hint="eastAsia" w:ascii="微软雅黑" w:eastAsia="微软雅黑"/>
        </w:rPr>
        <w:t>一、支持方向</w:t>
      </w:r>
    </w:p>
    <w:p>
      <w:pPr>
        <w:pStyle w:val="4"/>
        <w:spacing w:before="113"/>
        <w:ind w:left="1427"/>
      </w:pPr>
      <w:r>
        <w:t>1、支持文化服务业和项目；</w:t>
      </w:r>
    </w:p>
    <w:p>
      <w:pPr>
        <w:pStyle w:val="4"/>
        <w:spacing w:before="190"/>
        <w:ind w:left="1427"/>
      </w:pPr>
      <w:r>
        <w:t>2、支持文化企业扩大核心文化产品和文化服务出口；</w:t>
      </w:r>
    </w:p>
    <w:p>
      <w:pPr>
        <w:pStyle w:val="4"/>
        <w:spacing w:before="190" w:line="350" w:lineRule="auto"/>
        <w:ind w:left="786" w:right="790" w:firstLine="640"/>
      </w:pPr>
      <w:r>
        <w:t>3</w:t>
      </w:r>
      <w:r>
        <w:rPr>
          <w:spacing w:val="-9"/>
        </w:rPr>
        <w:t xml:space="preserve">、支持积极推进“文化宁波 </w:t>
      </w:r>
      <w:r>
        <w:rPr>
          <w:spacing w:val="-3"/>
        </w:rPr>
        <w:t>2020</w:t>
      </w:r>
      <w:r>
        <w:rPr>
          <w:spacing w:val="-4"/>
        </w:rPr>
        <w:t>”建设，推动全市文化产业高质量发展的重点项目；</w:t>
      </w:r>
    </w:p>
    <w:p>
      <w:pPr>
        <w:pStyle w:val="4"/>
        <w:spacing w:before="3" w:line="350" w:lineRule="auto"/>
        <w:ind w:left="786" w:right="795" w:firstLine="640"/>
      </w:pPr>
      <w:r>
        <w:t>4、支持有效贯彻落实国家和省市推动文化产业发展政策并获得相关荣誉的文化企业、园区和项目。</w:t>
      </w:r>
    </w:p>
    <w:p>
      <w:pPr>
        <w:pStyle w:val="4"/>
        <w:spacing w:line="490" w:lineRule="exact"/>
        <w:ind w:left="1427"/>
        <w:rPr>
          <w:rFonts w:hint="eastAsia" w:ascii="微软雅黑" w:eastAsia="微软雅黑"/>
        </w:rPr>
      </w:pPr>
      <w:r>
        <w:rPr>
          <w:rFonts w:hint="eastAsia" w:ascii="微软雅黑" w:eastAsia="微软雅黑"/>
        </w:rPr>
        <w:t>二、支持内容和扶持标准</w:t>
      </w:r>
    </w:p>
    <w:p>
      <w:pPr>
        <w:pStyle w:val="4"/>
        <w:spacing w:before="96" w:line="338" w:lineRule="auto"/>
        <w:ind w:left="786" w:right="794" w:firstLine="640"/>
        <w:jc w:val="both"/>
      </w:pPr>
      <w:r>
        <w:t>2020 年宁波市文化产业发展专项资金扶持项目面向社会公</w:t>
      </w:r>
      <w:r>
        <w:rPr>
          <w:spacing w:val="-8"/>
        </w:rPr>
        <w:t>开征集，同一项目</w:t>
      </w:r>
      <w:r>
        <w:t>（主体</w:t>
      </w:r>
      <w:r>
        <w:rPr>
          <w:spacing w:val="-29"/>
        </w:rPr>
        <w:t>）</w:t>
      </w:r>
      <w:r>
        <w:rPr>
          <w:spacing w:val="-4"/>
        </w:rPr>
        <w:t>按就高不重复原则给予支持。此次申</w:t>
      </w:r>
      <w:r>
        <w:t>报，主要支持以下几方面内容：</w:t>
      </w:r>
    </w:p>
    <w:p>
      <w:pPr>
        <w:pStyle w:val="4"/>
        <w:spacing w:line="378" w:lineRule="exact"/>
        <w:ind w:left="1427"/>
      </w:pPr>
      <w:r>
        <w:rPr>
          <w:spacing w:val="3"/>
        </w:rPr>
        <w:t>1</w:t>
      </w:r>
      <w:r>
        <w:t>、支持电影院发展，在宁波地区具有电影放映许可证的影</w:t>
      </w:r>
    </w:p>
    <w:p>
      <w:pPr>
        <w:pStyle w:val="4"/>
        <w:spacing w:before="214" w:line="364" w:lineRule="auto"/>
        <w:ind w:left="786" w:right="629"/>
      </w:pPr>
      <w:r>
        <w:rPr>
          <w:spacing w:val="-21"/>
        </w:rPr>
        <w:t xml:space="preserve">院，参照 </w:t>
      </w:r>
      <w:r>
        <w:t>2019</w:t>
      </w:r>
      <w:r>
        <w:rPr>
          <w:spacing w:val="-55"/>
        </w:rPr>
        <w:t xml:space="preserve"> 年 </w:t>
      </w:r>
      <w:r>
        <w:t>1</w:t>
      </w:r>
      <w:r>
        <w:rPr>
          <w:spacing w:val="-55"/>
        </w:rPr>
        <w:t xml:space="preserve"> 月 </w:t>
      </w:r>
      <w:r>
        <w:t>1</w:t>
      </w:r>
      <w:r>
        <w:rPr>
          <w:spacing w:val="-28"/>
        </w:rPr>
        <w:t xml:space="preserve"> 日-</w:t>
      </w:r>
      <w:r>
        <w:t>6</w:t>
      </w:r>
      <w:r>
        <w:rPr>
          <w:spacing w:val="-55"/>
        </w:rPr>
        <w:t xml:space="preserve"> 月 </w:t>
      </w:r>
      <w:r>
        <w:t>30</w:t>
      </w:r>
      <w:r>
        <w:rPr>
          <w:spacing w:val="-11"/>
        </w:rPr>
        <w:t xml:space="preserve"> 日影院票房(注：以全国电影</w:t>
      </w:r>
      <w:r>
        <w:rPr>
          <w:spacing w:val="-10"/>
        </w:rPr>
        <w:t>票房综合信息管理系统平台数据为准)情况进行补助。</w:t>
      </w:r>
      <w:r>
        <w:t>100</w:t>
      </w:r>
      <w:r>
        <w:rPr>
          <w:spacing w:val="4"/>
        </w:rPr>
        <w:t xml:space="preserve"> 万元</w:t>
      </w:r>
      <w:r>
        <w:rPr>
          <w:spacing w:val="-9"/>
        </w:rPr>
        <w:t xml:space="preserve">以下每家补助 </w:t>
      </w:r>
      <w:r>
        <w:t>1</w:t>
      </w:r>
      <w:r>
        <w:rPr>
          <w:spacing w:val="-21"/>
        </w:rPr>
        <w:t xml:space="preserve"> 万元，</w:t>
      </w:r>
      <w:r>
        <w:t>100</w:t>
      </w:r>
      <w:r>
        <w:rPr>
          <w:spacing w:val="-33"/>
        </w:rPr>
        <w:t xml:space="preserve"> 万元</w:t>
      </w:r>
      <w:r>
        <w:t>（含</w:t>
      </w:r>
      <w:r>
        <w:rPr>
          <w:spacing w:val="-10"/>
        </w:rPr>
        <w:t>）</w:t>
      </w:r>
      <w:r>
        <w:rPr>
          <w:spacing w:val="-40"/>
        </w:rPr>
        <w:t xml:space="preserve">至 </w:t>
      </w:r>
      <w:r>
        <w:t>500</w:t>
      </w:r>
      <w:r>
        <w:rPr>
          <w:spacing w:val="-22"/>
        </w:rPr>
        <w:t xml:space="preserve"> 万元每家补助 </w:t>
      </w:r>
      <w:r>
        <w:t>3</w:t>
      </w:r>
      <w:r>
        <w:rPr>
          <w:spacing w:val="-42"/>
        </w:rPr>
        <w:t xml:space="preserve"> 万</w:t>
      </w:r>
      <w:r>
        <w:rPr>
          <w:spacing w:val="-32"/>
        </w:rPr>
        <w:t>元，</w:t>
      </w:r>
      <w:r>
        <w:rPr>
          <w:spacing w:val="-21"/>
        </w:rPr>
        <w:t>500</w:t>
      </w:r>
      <w:r>
        <w:rPr>
          <w:spacing w:val="-56"/>
        </w:rPr>
        <w:t xml:space="preserve"> 万元</w:t>
      </w:r>
      <w:r>
        <w:t>（含</w:t>
      </w:r>
      <w:r>
        <w:rPr>
          <w:spacing w:val="-84"/>
        </w:rPr>
        <w:t>）</w:t>
      </w:r>
      <w:r>
        <w:rPr>
          <w:spacing w:val="-41"/>
        </w:rPr>
        <w:t xml:space="preserve">至 </w:t>
      </w:r>
      <w:r>
        <w:t>1000</w:t>
      </w:r>
      <w:r>
        <w:rPr>
          <w:spacing w:val="-22"/>
        </w:rPr>
        <w:t xml:space="preserve"> 万元每家补助 </w:t>
      </w:r>
      <w:r>
        <w:t>8</w:t>
      </w:r>
      <w:r>
        <w:rPr>
          <w:spacing w:val="-26"/>
        </w:rPr>
        <w:t xml:space="preserve"> 万元，</w:t>
      </w:r>
      <w:r>
        <w:rPr>
          <w:spacing w:val="-18"/>
        </w:rPr>
        <w:t>1000</w:t>
      </w:r>
      <w:r>
        <w:rPr>
          <w:spacing w:val="-57"/>
        </w:rPr>
        <w:t xml:space="preserve"> 万元</w:t>
      </w:r>
      <w:r>
        <w:t xml:space="preserve">（含） </w:t>
      </w:r>
      <w:r>
        <w:rPr>
          <w:spacing w:val="-10"/>
        </w:rPr>
        <w:t xml:space="preserve">以上每家补助 </w:t>
      </w:r>
      <w:r>
        <w:t>15</w:t>
      </w:r>
      <w:r>
        <w:rPr>
          <w:spacing w:val="-18"/>
        </w:rPr>
        <w:t xml:space="preserve"> 万元，</w:t>
      </w:r>
      <w:r>
        <w:t>2019</w:t>
      </w:r>
      <w:r>
        <w:rPr>
          <w:spacing w:val="-45"/>
        </w:rPr>
        <w:t xml:space="preserve"> 年 </w:t>
      </w:r>
      <w:r>
        <w:t>7</w:t>
      </w:r>
      <w:r>
        <w:rPr>
          <w:spacing w:val="-35"/>
        </w:rPr>
        <w:t xml:space="preserve"> 月至 </w:t>
      </w:r>
      <w:r>
        <w:t>2020</w:t>
      </w:r>
      <w:r>
        <w:rPr>
          <w:spacing w:val="-44"/>
        </w:rPr>
        <w:t xml:space="preserve"> 年 </w:t>
      </w:r>
      <w:r>
        <w:t>1</w:t>
      </w:r>
      <w:r>
        <w:rPr>
          <w:spacing w:val="-12"/>
        </w:rPr>
        <w:t xml:space="preserve"> 月期间新开影</w:t>
      </w:r>
    </w:p>
    <w:p>
      <w:pPr>
        <w:pStyle w:val="4"/>
        <w:spacing w:before="4"/>
        <w:ind w:left="786"/>
      </w:pPr>
      <w:r>
        <w:t>院无票房参考的每家补助 5 万元。</w:t>
      </w:r>
    </w:p>
    <w:p>
      <w:pPr>
        <w:spacing w:after="0"/>
        <w:sectPr>
          <w:pgSz w:w="11910" w:h="16840"/>
          <w:pgMar w:top="1580" w:right="680" w:bottom="1460" w:left="800" w:header="0" w:footer="1271" w:gutter="0"/>
        </w:sectPr>
      </w:pPr>
    </w:p>
    <w:p>
      <w:pPr>
        <w:pStyle w:val="4"/>
        <w:rPr>
          <w:sz w:val="15"/>
        </w:rPr>
      </w:pPr>
    </w:p>
    <w:p>
      <w:pPr>
        <w:pStyle w:val="4"/>
        <w:spacing w:before="54" w:line="338" w:lineRule="auto"/>
        <w:ind w:left="786" w:right="792" w:firstLine="640"/>
      </w:pPr>
      <w:r>
        <w:rPr>
          <w:spacing w:val="3"/>
        </w:rPr>
        <w:t>2</w:t>
      </w:r>
      <w:r>
        <w:t>、支持演艺行业发展，对文艺院团、演出场馆和演艺经纪</w:t>
      </w:r>
      <w:r>
        <w:rPr>
          <w:spacing w:val="-12"/>
        </w:rPr>
        <w:t xml:space="preserve">机构参照 </w:t>
      </w:r>
      <w:r>
        <w:t>2019</w:t>
      </w:r>
      <w:r>
        <w:rPr>
          <w:spacing w:val="-10"/>
        </w:rPr>
        <w:t xml:space="preserve"> 年度主营收入</w:t>
      </w:r>
      <w:r>
        <w:t>（注：以第三方专项审计为准）</w:t>
      </w:r>
      <w:r>
        <w:rPr>
          <w:color w:val="1A1F24"/>
          <w:spacing w:val="-11"/>
        </w:rPr>
        <w:t>情</w:t>
      </w:r>
    </w:p>
    <w:p>
      <w:pPr>
        <w:pStyle w:val="4"/>
        <w:spacing w:before="3"/>
        <w:ind w:left="786"/>
      </w:pPr>
      <w:r>
        <w:rPr>
          <w:color w:val="1A1F24"/>
          <w:spacing w:val="-12"/>
        </w:rPr>
        <w:t xml:space="preserve">况进行补助。年度主营收入 </w:t>
      </w:r>
      <w:r>
        <w:rPr>
          <w:color w:val="1A1F24"/>
        </w:rPr>
        <w:t>200</w:t>
      </w:r>
      <w:r>
        <w:rPr>
          <w:color w:val="1A1F24"/>
          <w:spacing w:val="-41"/>
        </w:rPr>
        <w:t xml:space="preserve"> 万元</w:t>
      </w:r>
      <w:r>
        <w:rPr>
          <w:color w:val="1A1F24"/>
        </w:rPr>
        <w:t>（含</w:t>
      </w:r>
      <w:r>
        <w:rPr>
          <w:color w:val="1A1F24"/>
          <w:spacing w:val="-39"/>
        </w:rPr>
        <w:t>）</w:t>
      </w:r>
      <w:r>
        <w:rPr>
          <w:color w:val="1A1F24"/>
          <w:spacing w:val="-41"/>
        </w:rPr>
        <w:t xml:space="preserve">至 </w:t>
      </w:r>
      <w:r>
        <w:rPr>
          <w:color w:val="1A1F24"/>
        </w:rPr>
        <w:t>400</w:t>
      </w:r>
      <w:r>
        <w:rPr>
          <w:color w:val="1A1F24"/>
          <w:spacing w:val="-13"/>
        </w:rPr>
        <w:t xml:space="preserve"> 万元每家补助</w:t>
      </w:r>
    </w:p>
    <w:p>
      <w:pPr>
        <w:pStyle w:val="4"/>
        <w:spacing w:before="171"/>
        <w:ind w:left="786"/>
      </w:pPr>
      <w:r>
        <w:rPr>
          <w:color w:val="1A1F24"/>
        </w:rPr>
        <w:t>10</w:t>
      </w:r>
      <w:r>
        <w:rPr>
          <w:color w:val="1A1F24"/>
          <w:spacing w:val="-17"/>
        </w:rPr>
        <w:t xml:space="preserve"> 万元，</w:t>
      </w:r>
      <w:r>
        <w:rPr>
          <w:color w:val="1A1F24"/>
        </w:rPr>
        <w:t>400</w:t>
      </w:r>
      <w:r>
        <w:rPr>
          <w:color w:val="1A1F24"/>
          <w:spacing w:val="-22"/>
        </w:rPr>
        <w:t xml:space="preserve"> 万元</w:t>
      </w:r>
      <w:r>
        <w:rPr>
          <w:color w:val="1A1F24"/>
        </w:rPr>
        <w:t>（含）</w:t>
      </w:r>
      <w:r>
        <w:rPr>
          <w:color w:val="1A1F24"/>
          <w:spacing w:val="-31"/>
        </w:rPr>
        <w:t xml:space="preserve">至 </w:t>
      </w:r>
      <w:r>
        <w:rPr>
          <w:color w:val="1A1F24"/>
        </w:rPr>
        <w:t>800</w:t>
      </w:r>
      <w:r>
        <w:rPr>
          <w:color w:val="1A1F24"/>
          <w:spacing w:val="-18"/>
        </w:rPr>
        <w:t xml:space="preserve"> 万元每家补助 </w:t>
      </w:r>
      <w:r>
        <w:rPr>
          <w:color w:val="1A1F24"/>
        </w:rPr>
        <w:t>20</w:t>
      </w:r>
      <w:r>
        <w:rPr>
          <w:color w:val="1A1F24"/>
          <w:spacing w:val="-17"/>
        </w:rPr>
        <w:t xml:space="preserve"> 万元，</w:t>
      </w:r>
      <w:r>
        <w:rPr>
          <w:color w:val="1A1F24"/>
        </w:rPr>
        <w:t>800</w:t>
      </w:r>
      <w:r>
        <w:rPr>
          <w:color w:val="1A1F24"/>
          <w:spacing w:val="-33"/>
        </w:rPr>
        <w:t xml:space="preserve"> 万</w:t>
      </w:r>
    </w:p>
    <w:p>
      <w:pPr>
        <w:pStyle w:val="4"/>
        <w:spacing w:before="169"/>
        <w:ind w:left="786"/>
      </w:pPr>
      <w:r>
        <w:rPr>
          <w:color w:val="1A1F24"/>
        </w:rPr>
        <w:t>元（含）</w:t>
      </w:r>
      <w:r>
        <w:rPr>
          <w:color w:val="1A1F24"/>
          <w:spacing w:val="-28"/>
        </w:rPr>
        <w:t xml:space="preserve">至 </w:t>
      </w:r>
      <w:r>
        <w:rPr>
          <w:color w:val="1A1F24"/>
        </w:rPr>
        <w:t>1000</w:t>
      </w:r>
      <w:r>
        <w:rPr>
          <w:color w:val="1A1F24"/>
          <w:spacing w:val="-16"/>
        </w:rPr>
        <w:t xml:space="preserve"> 万元每家补助 </w:t>
      </w:r>
      <w:r>
        <w:rPr>
          <w:color w:val="1A1F24"/>
        </w:rPr>
        <w:t>35</w:t>
      </w:r>
      <w:r>
        <w:rPr>
          <w:color w:val="1A1F24"/>
          <w:spacing w:val="-15"/>
        </w:rPr>
        <w:t xml:space="preserve"> 万元，</w:t>
      </w:r>
      <w:r>
        <w:rPr>
          <w:color w:val="1A1F24"/>
        </w:rPr>
        <w:t>1000</w:t>
      </w:r>
      <w:r>
        <w:rPr>
          <w:color w:val="1A1F24"/>
          <w:spacing w:val="-19"/>
        </w:rPr>
        <w:t xml:space="preserve"> 万元</w:t>
      </w:r>
      <w:r>
        <w:rPr>
          <w:color w:val="1A1F24"/>
        </w:rPr>
        <w:t>（含）以上</w:t>
      </w:r>
    </w:p>
    <w:p>
      <w:pPr>
        <w:pStyle w:val="4"/>
        <w:spacing w:before="170"/>
        <w:ind w:left="786"/>
      </w:pPr>
      <w:r>
        <w:rPr>
          <w:color w:val="1A1F24"/>
        </w:rPr>
        <w:t>每家补助 50 万元。</w:t>
      </w:r>
    </w:p>
    <w:p>
      <w:pPr>
        <w:pStyle w:val="4"/>
        <w:spacing w:before="172" w:line="338" w:lineRule="auto"/>
        <w:ind w:left="786" w:right="682" w:firstLine="640"/>
      </w:pPr>
      <w:r>
        <w:rPr>
          <w:color w:val="1A1F24"/>
        </w:rPr>
        <w:t>3</w:t>
      </w:r>
      <w:r>
        <w:rPr>
          <w:color w:val="1A1F24"/>
          <w:spacing w:val="-17"/>
        </w:rPr>
        <w:t xml:space="preserve">、支持实体书店发展，根据 </w:t>
      </w:r>
      <w:r>
        <w:rPr>
          <w:color w:val="1A1F24"/>
        </w:rPr>
        <w:t>2020</w:t>
      </w:r>
      <w:r>
        <w:rPr>
          <w:color w:val="1A1F24"/>
          <w:spacing w:val="-55"/>
        </w:rPr>
        <w:t xml:space="preserve"> 年 </w:t>
      </w:r>
      <w:r>
        <w:rPr>
          <w:color w:val="1A1F24"/>
        </w:rPr>
        <w:t>4</w:t>
      </w:r>
      <w:r>
        <w:rPr>
          <w:color w:val="1A1F24"/>
          <w:spacing w:val="-10"/>
        </w:rPr>
        <w:t xml:space="preserve"> 月浙江省委宣传部组</w:t>
      </w:r>
      <w:r>
        <w:rPr>
          <w:color w:val="1A1F24"/>
          <w:spacing w:val="-13"/>
        </w:rPr>
        <w:t>织的“关于应对新冠肺炎疫情，开展向实体书店购买阅读服务工</w:t>
      </w:r>
      <w:r>
        <w:rPr>
          <w:color w:val="1A1F24"/>
          <w:spacing w:val="-14"/>
        </w:rPr>
        <w:t xml:space="preserve">作”活动中的入围购买阅读服务名单获得阅读推广资金的书店， </w:t>
      </w:r>
      <w:r>
        <w:rPr>
          <w:color w:val="1A1F24"/>
          <w:spacing w:val="-5"/>
        </w:rPr>
        <w:t xml:space="preserve">市文化产业发展专项资金按省级资金 </w:t>
      </w:r>
      <w:r>
        <w:rPr>
          <w:color w:val="1A1F24"/>
        </w:rPr>
        <w:t>1:1</w:t>
      </w:r>
      <w:r>
        <w:rPr>
          <w:color w:val="1A1F24"/>
          <w:spacing w:val="-10"/>
        </w:rPr>
        <w:t xml:space="preserve"> 补助阅读推广资金。</w:t>
      </w:r>
    </w:p>
    <w:p>
      <w:pPr>
        <w:pStyle w:val="4"/>
        <w:spacing w:before="23" w:line="350" w:lineRule="auto"/>
        <w:ind w:left="786" w:right="792" w:firstLine="640"/>
        <w:jc w:val="both"/>
      </w:pPr>
      <w:r>
        <w:drawing>
          <wp:anchor distT="0" distB="0" distL="0" distR="0" simplePos="0" relativeHeight="485773312" behindDoc="1" locked="0" layoutInCell="1" allowOverlap="1">
            <wp:simplePos x="0" y="0"/>
            <wp:positionH relativeFrom="page">
              <wp:posOffset>1217930</wp:posOffset>
            </wp:positionH>
            <wp:positionV relativeFrom="paragraph">
              <wp:posOffset>1970405</wp:posOffset>
            </wp:positionV>
            <wp:extent cx="85725" cy="155575"/>
            <wp:effectExtent l="0" t="0" r="9525" b="1587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6" cstate="print"/>
                    <a:stretch>
                      <a:fillRect/>
                    </a:stretch>
                  </pic:blipFill>
                  <pic:spPr>
                    <a:xfrm>
                      <a:off x="0" y="0"/>
                      <a:ext cx="85725" cy="155575"/>
                    </a:xfrm>
                    <a:prstGeom prst="rect">
                      <a:avLst/>
                    </a:prstGeom>
                  </pic:spPr>
                </pic:pic>
              </a:graphicData>
            </a:graphic>
          </wp:anchor>
        </w:drawing>
      </w:r>
      <w:r>
        <w:rPr>
          <w:color w:val="1A1F24"/>
          <w:spacing w:val="3"/>
        </w:rPr>
        <w:t>4</w:t>
      </w:r>
      <w:r>
        <w:rPr>
          <w:color w:val="1A1F24"/>
        </w:rPr>
        <w:t>、支持文化产业园区发展，鼓励文化产业园区减轻入园中</w:t>
      </w:r>
      <w:r>
        <w:rPr>
          <w:color w:val="1A1F24"/>
          <w:spacing w:val="-5"/>
        </w:rPr>
        <w:t xml:space="preserve">小微文化企业房租负担，对于在 </w:t>
      </w:r>
      <w:r>
        <w:rPr>
          <w:color w:val="1A1F24"/>
        </w:rPr>
        <w:t>2020</w:t>
      </w:r>
      <w:r>
        <w:rPr>
          <w:color w:val="1A1F24"/>
          <w:spacing w:val="-9"/>
        </w:rPr>
        <w:t xml:space="preserve"> 年新冠肺炎疫情期间为承</w:t>
      </w:r>
      <w:r>
        <w:rPr>
          <w:color w:val="1A1F24"/>
          <w:spacing w:val="-4"/>
        </w:rPr>
        <w:t>租中小微文化企业减免租金的市级</w:t>
      </w:r>
      <w:r>
        <w:rPr>
          <w:color w:val="1A1F24"/>
        </w:rPr>
        <w:t>（培育</w:t>
      </w:r>
      <w:r>
        <w:rPr>
          <w:color w:val="1A1F24"/>
          <w:spacing w:val="-58"/>
        </w:rPr>
        <w:t>）</w:t>
      </w:r>
      <w:r>
        <w:rPr>
          <w:color w:val="1A1F24"/>
          <w:spacing w:val="-2"/>
        </w:rPr>
        <w:t>文化产业园区运营管</w:t>
      </w:r>
      <w:r>
        <w:rPr>
          <w:color w:val="1A1F24"/>
          <w:spacing w:val="-10"/>
        </w:rPr>
        <w:t>理机构</w:t>
      </w:r>
      <w:r>
        <w:rPr>
          <w:color w:val="1A1F24"/>
        </w:rPr>
        <w:t>（</w:t>
      </w:r>
      <w:r>
        <w:rPr>
          <w:color w:val="1A1F24"/>
          <w:spacing w:val="-6"/>
        </w:rPr>
        <w:t>注：属中小微企业</w:t>
      </w:r>
      <w:r>
        <w:rPr>
          <w:color w:val="1A1F24"/>
          <w:spacing w:val="-29"/>
        </w:rPr>
        <w:t>），</w:t>
      </w:r>
      <w:r>
        <w:rPr>
          <w:color w:val="1A1F24"/>
        </w:rPr>
        <w:t>综合考虑租金减免额度等情况进</w:t>
      </w:r>
      <w:r>
        <w:rPr>
          <w:color w:val="1A1F24"/>
          <w:spacing w:val="-7"/>
        </w:rPr>
        <w:t>行补助，每家补助减免租金额</w:t>
      </w:r>
      <w:r>
        <w:rPr>
          <w:color w:val="1A1F24"/>
        </w:rPr>
        <w:t>（</w:t>
      </w:r>
      <w:r>
        <w:rPr>
          <w:color w:val="1A1F24"/>
          <w:spacing w:val="-6"/>
        </w:rPr>
        <w:t>注：以第三方专项审计为准</w:t>
      </w:r>
      <w:r>
        <w:rPr>
          <w:color w:val="1A1F24"/>
          <w:spacing w:val="-29"/>
        </w:rPr>
        <w:t>）</w:t>
      </w:r>
      <w:r>
        <w:rPr>
          <w:color w:val="1A1F24"/>
        </w:rPr>
        <w:t>的20</w:t>
      </w:r>
      <w:r>
        <w:rPr>
          <w:color w:val="1A1F24"/>
          <w:spacing w:val="-6"/>
        </w:rPr>
        <w:t xml:space="preserve">，最高不超过 </w:t>
      </w:r>
      <w:r>
        <w:rPr>
          <w:color w:val="1A1F24"/>
        </w:rPr>
        <w:t>50</w:t>
      </w:r>
      <w:r>
        <w:rPr>
          <w:color w:val="1A1F24"/>
          <w:spacing w:val="-12"/>
        </w:rPr>
        <w:t xml:space="preserve"> 万元。</w:t>
      </w:r>
      <w:r>
        <w:rPr>
          <w:color w:val="1A1F24"/>
        </w:rPr>
        <w:t>2020</w:t>
      </w:r>
      <w:r>
        <w:rPr>
          <w:color w:val="1A1F24"/>
          <w:spacing w:val="-19"/>
        </w:rPr>
        <w:t xml:space="preserve"> 年已获得财政和国资减补的园</w:t>
      </w:r>
      <w:r>
        <w:rPr>
          <w:color w:val="1A1F24"/>
        </w:rPr>
        <w:t>区运营管理机构不再享受补助。</w:t>
      </w:r>
    </w:p>
    <w:p>
      <w:pPr>
        <w:pStyle w:val="4"/>
        <w:spacing w:before="10" w:line="350" w:lineRule="auto"/>
        <w:ind w:left="786" w:right="631" w:firstLine="640"/>
      </w:pPr>
      <w:r>
        <w:rPr>
          <w:color w:val="1A1F24"/>
        </w:rPr>
        <w:t>5</w:t>
      </w:r>
      <w:r>
        <w:rPr>
          <w:color w:val="1A1F24"/>
          <w:spacing w:val="-13"/>
        </w:rPr>
        <w:t xml:space="preserve">、对于在 </w:t>
      </w:r>
      <w:r>
        <w:rPr>
          <w:color w:val="1A1F24"/>
        </w:rPr>
        <w:t>2019-2020</w:t>
      </w:r>
      <w:r>
        <w:rPr>
          <w:color w:val="1A1F24"/>
          <w:spacing w:val="-8"/>
        </w:rPr>
        <w:t xml:space="preserve"> 年期间，首次入选“浙江省成长型文</w:t>
      </w:r>
      <w:r>
        <w:rPr>
          <w:color w:val="1A1F24"/>
          <w:spacing w:val="-19"/>
        </w:rPr>
        <w:t>化企业”、“浙江省重点文化企业”、“浙江省文化创意街区”、</w:t>
      </w:r>
      <w:r>
        <w:rPr>
          <w:color w:val="1A1F24"/>
          <w:spacing w:val="-8"/>
        </w:rPr>
        <w:t>“浙江省重点文化产业园区”荣誉称号的给予一次性奖励，浙江</w:t>
      </w:r>
      <w:r>
        <w:rPr>
          <w:color w:val="1A1F24"/>
          <w:spacing w:val="-15"/>
        </w:rPr>
        <w:t xml:space="preserve">省成长型文化企业奖励 </w:t>
      </w:r>
      <w:r>
        <w:rPr>
          <w:color w:val="1A1F24"/>
        </w:rPr>
        <w:t>10</w:t>
      </w:r>
      <w:r>
        <w:rPr>
          <w:color w:val="1A1F24"/>
          <w:spacing w:val="-20"/>
        </w:rPr>
        <w:t xml:space="preserve"> 万元，浙江省重点文化企业奖励 </w:t>
      </w:r>
      <w:r>
        <w:rPr>
          <w:color w:val="1A1F24"/>
        </w:rPr>
        <w:t>50</w:t>
      </w:r>
      <w:r>
        <w:rPr>
          <w:color w:val="1A1F24"/>
          <w:spacing w:val="-41"/>
        </w:rPr>
        <w:t xml:space="preserve"> 万</w:t>
      </w:r>
    </w:p>
    <w:p>
      <w:pPr>
        <w:pStyle w:val="4"/>
        <w:spacing w:before="6"/>
        <w:ind w:left="786"/>
      </w:pPr>
      <w:r>
        <w:rPr>
          <w:color w:val="1A1F24"/>
          <w:spacing w:val="-5"/>
        </w:rPr>
        <w:t xml:space="preserve">元，浙江省文化创意街区奖励 </w:t>
      </w:r>
      <w:r>
        <w:rPr>
          <w:color w:val="1A1F24"/>
        </w:rPr>
        <w:t>60</w:t>
      </w:r>
      <w:r>
        <w:rPr>
          <w:color w:val="1A1F24"/>
          <w:spacing w:val="-8"/>
        </w:rPr>
        <w:t xml:space="preserve"> 万元，浙江省重点文化产业园</w:t>
      </w:r>
    </w:p>
    <w:p>
      <w:pPr>
        <w:spacing w:after="0"/>
        <w:sectPr>
          <w:pgSz w:w="11910" w:h="16840"/>
          <w:pgMar w:top="1580" w:right="680" w:bottom="1460" w:left="800" w:header="0" w:footer="1271" w:gutter="0"/>
        </w:sectPr>
      </w:pPr>
    </w:p>
    <w:p>
      <w:pPr>
        <w:pStyle w:val="4"/>
        <w:spacing w:before="4"/>
        <w:rPr>
          <w:sz w:val="16"/>
        </w:rPr>
      </w:pPr>
    </w:p>
    <w:p>
      <w:pPr>
        <w:pStyle w:val="4"/>
        <w:spacing w:before="54"/>
        <w:ind w:left="786"/>
      </w:pPr>
      <w:r>
        <w:rPr>
          <w:color w:val="1A1F24"/>
          <w:spacing w:val="-22"/>
        </w:rPr>
        <w:t xml:space="preserve">区奖励 </w:t>
      </w:r>
      <w:r>
        <w:rPr>
          <w:color w:val="1A1F24"/>
        </w:rPr>
        <w:t>100</w:t>
      </w:r>
      <w:r>
        <w:rPr>
          <w:color w:val="1A1F24"/>
          <w:spacing w:val="-16"/>
        </w:rPr>
        <w:t xml:space="preserve"> 万元；获评“国家文化和科技融合示范基地”的奖励</w:t>
      </w:r>
    </w:p>
    <w:p>
      <w:pPr>
        <w:pStyle w:val="4"/>
        <w:spacing w:before="190"/>
        <w:ind w:left="786"/>
      </w:pPr>
      <w:r>
        <w:rPr>
          <w:color w:val="1A1F24"/>
        </w:rPr>
        <w:t>100</w:t>
      </w:r>
      <w:r>
        <w:rPr>
          <w:color w:val="1A1F24"/>
          <w:spacing w:val="-28"/>
        </w:rPr>
        <w:t xml:space="preserve"> 万元；</w:t>
      </w:r>
      <w:r>
        <w:rPr>
          <w:color w:val="1A1F24"/>
          <w:spacing w:val="-23"/>
        </w:rPr>
        <w:t>2019</w:t>
      </w:r>
      <w:r>
        <w:rPr>
          <w:color w:val="1A1F24"/>
          <w:spacing w:val="-10"/>
        </w:rPr>
        <w:t xml:space="preserve"> 年以来通过国家文化创新工程项目验收的文化产</w:t>
      </w:r>
    </w:p>
    <w:p>
      <w:pPr>
        <w:pStyle w:val="4"/>
        <w:spacing w:before="190" w:line="350" w:lineRule="auto"/>
        <w:ind w:left="786" w:right="792"/>
      </w:pPr>
      <w:r>
        <w:rPr>
          <w:color w:val="1A1F24"/>
          <w:spacing w:val="-14"/>
        </w:rPr>
        <w:t xml:space="preserve">业项目奖励 </w:t>
      </w:r>
      <w:r>
        <w:rPr>
          <w:color w:val="1A1F24"/>
        </w:rPr>
        <w:t>80</w:t>
      </w:r>
      <w:r>
        <w:rPr>
          <w:color w:val="1A1F24"/>
          <w:spacing w:val="-20"/>
        </w:rPr>
        <w:t xml:space="preserve"> 万元；获得“全国文化企业 </w:t>
      </w:r>
      <w:r>
        <w:rPr>
          <w:color w:val="1A1F24"/>
        </w:rPr>
        <w:t>30</w:t>
      </w:r>
      <w:r>
        <w:rPr>
          <w:color w:val="1A1F24"/>
          <w:spacing w:val="-15"/>
        </w:rPr>
        <w:t xml:space="preserve"> 强”或提名的分别</w:t>
      </w:r>
      <w:r>
        <w:rPr>
          <w:color w:val="1A1F24"/>
          <w:spacing w:val="-37"/>
        </w:rPr>
        <w:t xml:space="preserve">奖励 </w:t>
      </w:r>
      <w:r>
        <w:rPr>
          <w:color w:val="1A1F24"/>
        </w:rPr>
        <w:t>150</w:t>
      </w:r>
      <w:r>
        <w:rPr>
          <w:color w:val="1A1F24"/>
          <w:spacing w:val="-20"/>
        </w:rPr>
        <w:t xml:space="preserve"> 万元、</w:t>
      </w:r>
      <w:r>
        <w:rPr>
          <w:color w:val="1A1F24"/>
        </w:rPr>
        <w:t>100</w:t>
      </w:r>
      <w:r>
        <w:rPr>
          <w:color w:val="1A1F24"/>
          <w:spacing w:val="-21"/>
        </w:rPr>
        <w:t xml:space="preserve"> 万元。</w:t>
      </w:r>
    </w:p>
    <w:p>
      <w:pPr>
        <w:pStyle w:val="4"/>
        <w:spacing w:line="358" w:lineRule="exact"/>
        <w:ind w:left="1427"/>
      </w:pPr>
      <w:r>
        <w:t>6、鼓励和支持文化企业参与国际竞争，扩大核心文化产品</w:t>
      </w:r>
    </w:p>
    <w:p>
      <w:pPr>
        <w:pStyle w:val="4"/>
        <w:spacing w:before="214" w:line="364" w:lineRule="auto"/>
        <w:ind w:left="786" w:right="787"/>
        <w:jc w:val="both"/>
      </w:pPr>
      <w:r>
        <mc:AlternateContent>
          <mc:Choice Requires="wps">
            <w:drawing>
              <wp:anchor distT="0" distB="0" distL="114300" distR="114300" simplePos="0" relativeHeight="15730688" behindDoc="0" locked="0" layoutInCell="1" allowOverlap="1">
                <wp:simplePos x="0" y="0"/>
                <wp:positionH relativeFrom="page">
                  <wp:posOffset>1106170</wp:posOffset>
                </wp:positionH>
                <wp:positionV relativeFrom="paragraph">
                  <wp:posOffset>1654175</wp:posOffset>
                </wp:positionV>
                <wp:extent cx="5422265" cy="39617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22265" cy="3961765"/>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3001"/>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840" w:type="dxa"/>
                                </w:tcPr>
                                <w:p>
                                  <w:pPr>
                                    <w:pStyle w:val="7"/>
                                    <w:spacing w:before="132"/>
                                    <w:ind w:left="1120" w:right="1109"/>
                                    <w:jc w:val="center"/>
                                    <w:rPr>
                                      <w:sz w:val="28"/>
                                    </w:rPr>
                                  </w:pPr>
                                  <w:r>
                                    <w:rPr>
                                      <w:sz w:val="28"/>
                                    </w:rPr>
                                    <w:t>类型</w:t>
                                  </w:r>
                                </w:p>
                              </w:tc>
                              <w:tc>
                                <w:tcPr>
                                  <w:tcW w:w="3001" w:type="dxa"/>
                                </w:tcPr>
                                <w:p>
                                  <w:pPr>
                                    <w:pStyle w:val="7"/>
                                    <w:spacing w:before="132"/>
                                    <w:ind w:left="381"/>
                                    <w:rPr>
                                      <w:sz w:val="28"/>
                                    </w:rPr>
                                  </w:pPr>
                                  <w:r>
                                    <w:rPr>
                                      <w:sz w:val="28"/>
                                    </w:rPr>
                                    <w:t>年出口额（美元）</w:t>
                                  </w:r>
                                </w:p>
                              </w:tc>
                              <w:tc>
                                <w:tcPr>
                                  <w:tcW w:w="2684" w:type="dxa"/>
                                </w:tcPr>
                                <w:p>
                                  <w:pPr>
                                    <w:pStyle w:val="7"/>
                                    <w:spacing w:before="132"/>
                                    <w:ind w:left="203" w:right="191"/>
                                    <w:jc w:val="center"/>
                                    <w:rPr>
                                      <w:sz w:val="28"/>
                                    </w:rPr>
                                  </w:pPr>
                                  <w:r>
                                    <w:rPr>
                                      <w:sz w:val="28"/>
                                    </w:rPr>
                                    <w:t>最高奖励（万元）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840" w:type="dxa"/>
                                  <w:vMerge w:val="restart"/>
                                </w:tcPr>
                                <w:p>
                                  <w:pPr>
                                    <w:pStyle w:val="7"/>
                                    <w:rPr>
                                      <w:sz w:val="28"/>
                                    </w:rPr>
                                  </w:pPr>
                                </w:p>
                                <w:p>
                                  <w:pPr>
                                    <w:pStyle w:val="7"/>
                                    <w:spacing w:before="3"/>
                                    <w:rPr>
                                      <w:sz w:val="28"/>
                                    </w:rPr>
                                  </w:pPr>
                                </w:p>
                                <w:p>
                                  <w:pPr>
                                    <w:pStyle w:val="7"/>
                                    <w:ind w:left="299"/>
                                    <w:rPr>
                                      <w:sz w:val="28"/>
                                    </w:rPr>
                                  </w:pPr>
                                  <w:r>
                                    <w:rPr>
                                      <w:sz w:val="28"/>
                                    </w:rPr>
                                    <w:t>核心文化产品出口</w:t>
                                  </w:r>
                                </w:p>
                              </w:tc>
                              <w:tc>
                                <w:tcPr>
                                  <w:tcW w:w="3001" w:type="dxa"/>
                                </w:tcPr>
                                <w:p>
                                  <w:pPr>
                                    <w:pStyle w:val="7"/>
                                    <w:spacing w:before="39"/>
                                    <w:ind w:left="625"/>
                                    <w:rPr>
                                      <w:sz w:val="28"/>
                                    </w:rPr>
                                  </w:pPr>
                                  <w:r>
                                    <w:rPr>
                                      <w:sz w:val="28"/>
                                    </w:rPr>
                                    <w:t>2000 万及以上</w:t>
                                  </w:r>
                                </w:p>
                              </w:tc>
                              <w:tc>
                                <w:tcPr>
                                  <w:tcW w:w="2684" w:type="dxa"/>
                                </w:tcPr>
                                <w:p>
                                  <w:pPr>
                                    <w:pStyle w:val="7"/>
                                    <w:spacing w:before="39"/>
                                    <w:ind w:left="202" w:right="191"/>
                                    <w:jc w:val="center"/>
                                    <w:rPr>
                                      <w:sz w:val="28"/>
                                    </w:rPr>
                                  </w:pPr>
                                  <w:r>
                                    <w:rPr>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2840" w:type="dxa"/>
                                  <w:vMerge w:val="continue"/>
                                  <w:tcBorders>
                                    <w:top w:val="nil"/>
                                  </w:tcBorders>
                                </w:tcPr>
                                <w:p>
                                  <w:pPr>
                                    <w:rPr>
                                      <w:sz w:val="2"/>
                                      <w:szCs w:val="2"/>
                                    </w:rPr>
                                  </w:pPr>
                                </w:p>
                              </w:tc>
                              <w:tc>
                                <w:tcPr>
                                  <w:tcW w:w="3001" w:type="dxa"/>
                                </w:tcPr>
                                <w:p>
                                  <w:pPr>
                                    <w:pStyle w:val="7"/>
                                    <w:spacing w:before="39"/>
                                    <w:ind w:left="109"/>
                                    <w:rPr>
                                      <w:sz w:val="28"/>
                                    </w:rPr>
                                  </w:pPr>
                                  <w:r>
                                    <w:rPr>
                                      <w:sz w:val="28"/>
                                    </w:rPr>
                                    <w:t>1000</w:t>
                                  </w:r>
                                  <w:r>
                                    <w:rPr>
                                      <w:spacing w:val="-39"/>
                                      <w:sz w:val="28"/>
                                    </w:rPr>
                                    <w:t xml:space="preserve"> 万</w:t>
                                  </w:r>
                                  <w:r>
                                    <w:rPr>
                                      <w:spacing w:val="-3"/>
                                      <w:sz w:val="28"/>
                                    </w:rPr>
                                    <w:t>（</w:t>
                                  </w:r>
                                  <w:r>
                                    <w:rPr>
                                      <w:sz w:val="28"/>
                                    </w:rPr>
                                    <w:t>含</w:t>
                                  </w:r>
                                  <w:r>
                                    <w:rPr>
                                      <w:spacing w:val="-3"/>
                                      <w:sz w:val="28"/>
                                    </w:rPr>
                                    <w:t>）-2000</w:t>
                                  </w:r>
                                  <w:r>
                                    <w:rPr>
                                      <w:spacing w:val="-35"/>
                                      <w:sz w:val="28"/>
                                    </w:rPr>
                                    <w:t xml:space="preserve"> 万</w:t>
                                  </w:r>
                                </w:p>
                              </w:tc>
                              <w:tc>
                                <w:tcPr>
                                  <w:tcW w:w="2684" w:type="dxa"/>
                                </w:tcPr>
                                <w:p>
                                  <w:pPr>
                                    <w:pStyle w:val="7"/>
                                    <w:spacing w:before="39"/>
                                    <w:ind w:left="202" w:right="191"/>
                                    <w:jc w:val="center"/>
                                    <w:rPr>
                                      <w:sz w:val="28"/>
                                    </w:rPr>
                                  </w:pPr>
                                  <w:r>
                                    <w:rPr>
                                      <w:sz w:val="2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2840" w:type="dxa"/>
                                  <w:vMerge w:val="continue"/>
                                  <w:tcBorders>
                                    <w:top w:val="nil"/>
                                  </w:tcBorders>
                                </w:tcPr>
                                <w:p>
                                  <w:pPr>
                                    <w:rPr>
                                      <w:sz w:val="2"/>
                                      <w:szCs w:val="2"/>
                                    </w:rPr>
                                  </w:pPr>
                                </w:p>
                              </w:tc>
                              <w:tc>
                                <w:tcPr>
                                  <w:tcW w:w="3001" w:type="dxa"/>
                                </w:tcPr>
                                <w:p>
                                  <w:pPr>
                                    <w:pStyle w:val="7"/>
                                    <w:spacing w:before="41"/>
                                    <w:ind w:left="169"/>
                                    <w:rPr>
                                      <w:sz w:val="28"/>
                                    </w:rPr>
                                  </w:pPr>
                                  <w:r>
                                    <w:rPr>
                                      <w:sz w:val="28"/>
                                    </w:rPr>
                                    <w:t>500 万（含）-1000 万</w:t>
                                  </w:r>
                                </w:p>
                              </w:tc>
                              <w:tc>
                                <w:tcPr>
                                  <w:tcW w:w="2684" w:type="dxa"/>
                                </w:tcPr>
                                <w:p>
                                  <w:pPr>
                                    <w:pStyle w:val="7"/>
                                    <w:spacing w:before="41"/>
                                    <w:ind w:left="202" w:right="191"/>
                                    <w:jc w:val="center"/>
                                    <w:rPr>
                                      <w:sz w:val="28"/>
                                    </w:rPr>
                                  </w:pPr>
                                  <w:r>
                                    <w:rPr>
                                      <w:sz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40" w:type="dxa"/>
                                  <w:vMerge w:val="continue"/>
                                  <w:tcBorders>
                                    <w:top w:val="nil"/>
                                  </w:tcBorders>
                                </w:tcPr>
                                <w:p>
                                  <w:pPr>
                                    <w:rPr>
                                      <w:sz w:val="2"/>
                                      <w:szCs w:val="2"/>
                                    </w:rPr>
                                  </w:pPr>
                                </w:p>
                              </w:tc>
                              <w:tc>
                                <w:tcPr>
                                  <w:tcW w:w="3001" w:type="dxa"/>
                                </w:tcPr>
                                <w:p>
                                  <w:pPr>
                                    <w:pStyle w:val="7"/>
                                    <w:spacing w:before="39" w:line="341" w:lineRule="exact"/>
                                    <w:ind w:left="241"/>
                                    <w:rPr>
                                      <w:sz w:val="28"/>
                                    </w:rPr>
                                  </w:pPr>
                                  <w:r>
                                    <w:rPr>
                                      <w:sz w:val="28"/>
                                    </w:rPr>
                                    <w:t>100 万（含）-500 万</w:t>
                                  </w:r>
                                </w:p>
                              </w:tc>
                              <w:tc>
                                <w:tcPr>
                                  <w:tcW w:w="2684" w:type="dxa"/>
                                </w:tcPr>
                                <w:p>
                                  <w:pPr>
                                    <w:pStyle w:val="7"/>
                                    <w:spacing w:before="39" w:line="341" w:lineRule="exact"/>
                                    <w:ind w:left="202" w:right="191"/>
                                    <w:jc w:val="center"/>
                                    <w:rPr>
                                      <w:sz w:val="28"/>
                                    </w:rPr>
                                  </w:pPr>
                                  <w:r>
                                    <w:rPr>
                                      <w:sz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840" w:type="dxa"/>
                                  <w:vMerge w:val="restart"/>
                                </w:tcPr>
                                <w:p>
                                  <w:pPr>
                                    <w:pStyle w:val="7"/>
                                    <w:rPr>
                                      <w:sz w:val="28"/>
                                    </w:rPr>
                                  </w:pPr>
                                </w:p>
                                <w:p>
                                  <w:pPr>
                                    <w:pStyle w:val="7"/>
                                    <w:spacing w:before="7"/>
                                    <w:rPr>
                                      <w:sz w:val="32"/>
                                    </w:rPr>
                                  </w:pPr>
                                </w:p>
                                <w:p>
                                  <w:pPr>
                                    <w:pStyle w:val="7"/>
                                    <w:ind w:left="578"/>
                                    <w:rPr>
                                      <w:sz w:val="28"/>
                                    </w:rPr>
                                  </w:pPr>
                                  <w:r>
                                    <w:rPr>
                                      <w:sz w:val="28"/>
                                    </w:rPr>
                                    <w:t>文化服务出口</w:t>
                                  </w:r>
                                </w:p>
                              </w:tc>
                              <w:tc>
                                <w:tcPr>
                                  <w:tcW w:w="3001" w:type="dxa"/>
                                </w:tcPr>
                                <w:p>
                                  <w:pPr>
                                    <w:pStyle w:val="7"/>
                                    <w:spacing w:before="79"/>
                                    <w:ind w:left="695"/>
                                    <w:rPr>
                                      <w:sz w:val="28"/>
                                    </w:rPr>
                                  </w:pPr>
                                  <w:r>
                                    <w:rPr>
                                      <w:sz w:val="28"/>
                                    </w:rPr>
                                    <w:t>200 万及以上</w:t>
                                  </w:r>
                                </w:p>
                              </w:tc>
                              <w:tc>
                                <w:tcPr>
                                  <w:tcW w:w="2684" w:type="dxa"/>
                                </w:tcPr>
                                <w:p>
                                  <w:pPr>
                                    <w:pStyle w:val="7"/>
                                    <w:spacing w:before="79"/>
                                    <w:ind w:left="202" w:right="191"/>
                                    <w:jc w:val="center"/>
                                    <w:rPr>
                                      <w:sz w:val="28"/>
                                    </w:rPr>
                                  </w:pPr>
                                  <w:r>
                                    <w:rPr>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840" w:type="dxa"/>
                                  <w:vMerge w:val="continue"/>
                                  <w:tcBorders>
                                    <w:top w:val="nil"/>
                                  </w:tcBorders>
                                </w:tcPr>
                                <w:p>
                                  <w:pPr>
                                    <w:rPr>
                                      <w:sz w:val="2"/>
                                      <w:szCs w:val="2"/>
                                    </w:rPr>
                                  </w:pPr>
                                </w:p>
                              </w:tc>
                              <w:tc>
                                <w:tcPr>
                                  <w:tcW w:w="3001" w:type="dxa"/>
                                </w:tcPr>
                                <w:p>
                                  <w:pPr>
                                    <w:pStyle w:val="7"/>
                                    <w:spacing w:before="65"/>
                                    <w:ind w:left="241"/>
                                    <w:rPr>
                                      <w:sz w:val="28"/>
                                    </w:rPr>
                                  </w:pPr>
                                  <w:r>
                                    <w:rPr>
                                      <w:sz w:val="28"/>
                                    </w:rPr>
                                    <w:t>100 万（含）-200 万</w:t>
                                  </w:r>
                                </w:p>
                              </w:tc>
                              <w:tc>
                                <w:tcPr>
                                  <w:tcW w:w="2684" w:type="dxa"/>
                                </w:tcPr>
                                <w:p>
                                  <w:pPr>
                                    <w:pStyle w:val="7"/>
                                    <w:spacing w:before="65"/>
                                    <w:ind w:left="202" w:right="191"/>
                                    <w:jc w:val="center"/>
                                    <w:rPr>
                                      <w:sz w:val="28"/>
                                    </w:rPr>
                                  </w:pPr>
                                  <w:r>
                                    <w:rPr>
                                      <w:sz w:val="2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840" w:type="dxa"/>
                                  <w:vMerge w:val="continue"/>
                                  <w:tcBorders>
                                    <w:top w:val="nil"/>
                                  </w:tcBorders>
                                </w:tcPr>
                                <w:p>
                                  <w:pPr>
                                    <w:rPr>
                                      <w:sz w:val="2"/>
                                      <w:szCs w:val="2"/>
                                    </w:rPr>
                                  </w:pPr>
                                </w:p>
                              </w:tc>
                              <w:tc>
                                <w:tcPr>
                                  <w:tcW w:w="3001" w:type="dxa"/>
                                </w:tcPr>
                                <w:p>
                                  <w:pPr>
                                    <w:pStyle w:val="7"/>
                                    <w:spacing w:before="72"/>
                                    <w:ind w:left="311"/>
                                    <w:rPr>
                                      <w:sz w:val="28"/>
                                    </w:rPr>
                                  </w:pPr>
                                  <w:r>
                                    <w:rPr>
                                      <w:sz w:val="28"/>
                                    </w:rPr>
                                    <w:t>50 万（含）-100 万</w:t>
                                  </w:r>
                                </w:p>
                              </w:tc>
                              <w:tc>
                                <w:tcPr>
                                  <w:tcW w:w="2684" w:type="dxa"/>
                                </w:tcPr>
                                <w:p>
                                  <w:pPr>
                                    <w:pStyle w:val="7"/>
                                    <w:spacing w:before="72"/>
                                    <w:ind w:left="202" w:right="191"/>
                                    <w:jc w:val="center"/>
                                    <w:rPr>
                                      <w:sz w:val="28"/>
                                    </w:rPr>
                                  </w:pPr>
                                  <w:r>
                                    <w:rPr>
                                      <w:sz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840" w:type="dxa"/>
                                  <w:vMerge w:val="continue"/>
                                  <w:tcBorders>
                                    <w:top w:val="nil"/>
                                  </w:tcBorders>
                                </w:tcPr>
                                <w:p>
                                  <w:pPr>
                                    <w:rPr>
                                      <w:sz w:val="2"/>
                                      <w:szCs w:val="2"/>
                                    </w:rPr>
                                  </w:pPr>
                                </w:p>
                              </w:tc>
                              <w:tc>
                                <w:tcPr>
                                  <w:tcW w:w="3001" w:type="dxa"/>
                                </w:tcPr>
                                <w:p>
                                  <w:pPr>
                                    <w:pStyle w:val="7"/>
                                    <w:spacing w:before="82"/>
                                    <w:ind w:left="381"/>
                                    <w:rPr>
                                      <w:sz w:val="28"/>
                                    </w:rPr>
                                  </w:pPr>
                                  <w:r>
                                    <w:rPr>
                                      <w:sz w:val="28"/>
                                    </w:rPr>
                                    <w:t>15 万（含）-50 万</w:t>
                                  </w:r>
                                </w:p>
                              </w:tc>
                              <w:tc>
                                <w:tcPr>
                                  <w:tcW w:w="2684" w:type="dxa"/>
                                </w:tcPr>
                                <w:p>
                                  <w:pPr>
                                    <w:pStyle w:val="7"/>
                                    <w:spacing w:before="82"/>
                                    <w:ind w:left="202" w:right="191"/>
                                    <w:jc w:val="center"/>
                                    <w:rPr>
                                      <w:sz w:val="28"/>
                                    </w:rPr>
                                  </w:pPr>
                                  <w:r>
                                    <w:rPr>
                                      <w:sz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5" w:hRule="atLeast"/>
                              </w:trPr>
                              <w:tc>
                                <w:tcPr>
                                  <w:tcW w:w="8525" w:type="dxa"/>
                                  <w:gridSpan w:val="3"/>
                                </w:tcPr>
                                <w:p>
                                  <w:pPr>
                                    <w:pStyle w:val="7"/>
                                    <w:spacing w:before="72" w:line="295" w:lineRule="auto"/>
                                    <w:ind w:left="107" w:right="93"/>
                                    <w:rPr>
                                      <w:sz w:val="28"/>
                                    </w:rPr>
                                  </w:pPr>
                                  <w:r>
                                    <w:rPr>
                                      <w:sz w:val="28"/>
                                    </w:rPr>
                                    <w:t>注：1、核心文化产品出口额以年度海关出口数据为准，文化服务出口额以合同执行外汇收汇凭证为准；2、对外文化贸易核心文化产品</w:t>
                                  </w:r>
                                </w:p>
                                <w:p>
                                  <w:pPr>
                                    <w:pStyle w:val="7"/>
                                    <w:spacing w:line="292" w:lineRule="auto"/>
                                    <w:ind w:left="107" w:right="93"/>
                                    <w:rPr>
                                      <w:sz w:val="28"/>
                                    </w:rPr>
                                  </w:pPr>
                                  <w:r>
                                    <w:rPr>
                                      <w:spacing w:val="-6"/>
                                      <w:sz w:val="28"/>
                                    </w:rPr>
                                    <w:t>或文化服务出口目录以《对外文化贸易统计体系</w:t>
                                  </w:r>
                                  <w:r>
                                    <w:rPr>
                                      <w:spacing w:val="-4"/>
                                      <w:sz w:val="28"/>
                                    </w:rPr>
                                    <w:t>（2015）</w:t>
                                  </w:r>
                                  <w:r>
                                    <w:rPr>
                                      <w:spacing w:val="-39"/>
                                      <w:sz w:val="28"/>
                                    </w:rPr>
                                    <w:t>》</w:t>
                                  </w:r>
                                  <w:r>
                                    <w:rPr>
                                      <w:sz w:val="28"/>
                                    </w:rPr>
                                    <w:t>（商办服贸函„2015‟485</w:t>
                                  </w:r>
                                  <w:r>
                                    <w:rPr>
                                      <w:spacing w:val="-35"/>
                                      <w:sz w:val="28"/>
                                    </w:rPr>
                                    <w:t xml:space="preserve"> 号</w:t>
                                  </w:r>
                                  <w:r>
                                    <w:rPr>
                                      <w:sz w:val="28"/>
                                    </w:rPr>
                                    <w:t>）</w:t>
                                  </w:r>
                                  <w:r>
                                    <w:rPr>
                                      <w:spacing w:val="-1"/>
                                      <w:sz w:val="28"/>
                                    </w:rPr>
                                    <w:t>文件为标准。</w:t>
                                  </w:r>
                                </w:p>
                              </w:tc>
                            </w:tr>
                          </w:tbl>
                          <w:p>
                            <w:pPr>
                              <w:pStyle w:val="4"/>
                            </w:pPr>
                          </w:p>
                        </w:txbxContent>
                      </wps:txbx>
                      <wps:bodyPr lIns="0" tIns="0" rIns="0" bIns="0" upright="1"/>
                    </wps:wsp>
                  </a:graphicData>
                </a:graphic>
              </wp:anchor>
            </w:drawing>
          </mc:Choice>
          <mc:Fallback>
            <w:pict>
              <v:shape id="_x0000_s1026" o:spid="_x0000_s1026" o:spt="202" type="#_x0000_t202" style="position:absolute;left:0pt;margin-left:87.1pt;margin-top:130.25pt;height:311.95pt;width:426.95pt;mso-position-horizontal-relative:page;z-index:15730688;mso-width-relative:page;mso-height-relative:page;" filled="f" stroked="f" coordsize="21600,21600" o:gfxdata="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I14o32QAAAAwBAAAPAAAAAAAA&#10;AAEAIAAAACIAAABkcnMvZG93bnJldi54bWxQSwECFAAUAAAACACHTuJASzhbjp8BAAAlAwAADgAA&#10;AAAAAAABACAAAAAoAQAAZHJzL2Uyb0RvYy54bWxQSwUGAAAAAAYABgBZAQAAOQU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3001"/>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840" w:type="dxa"/>
                          </w:tcPr>
                          <w:p>
                            <w:pPr>
                              <w:pStyle w:val="7"/>
                              <w:spacing w:before="132"/>
                              <w:ind w:left="1120" w:right="1109"/>
                              <w:jc w:val="center"/>
                              <w:rPr>
                                <w:sz w:val="28"/>
                              </w:rPr>
                            </w:pPr>
                            <w:r>
                              <w:rPr>
                                <w:sz w:val="28"/>
                              </w:rPr>
                              <w:t>类型</w:t>
                            </w:r>
                          </w:p>
                        </w:tc>
                        <w:tc>
                          <w:tcPr>
                            <w:tcW w:w="3001" w:type="dxa"/>
                          </w:tcPr>
                          <w:p>
                            <w:pPr>
                              <w:pStyle w:val="7"/>
                              <w:spacing w:before="132"/>
                              <w:ind w:left="381"/>
                              <w:rPr>
                                <w:sz w:val="28"/>
                              </w:rPr>
                            </w:pPr>
                            <w:r>
                              <w:rPr>
                                <w:sz w:val="28"/>
                              </w:rPr>
                              <w:t>年出口额（美元）</w:t>
                            </w:r>
                          </w:p>
                        </w:tc>
                        <w:tc>
                          <w:tcPr>
                            <w:tcW w:w="2684" w:type="dxa"/>
                          </w:tcPr>
                          <w:p>
                            <w:pPr>
                              <w:pStyle w:val="7"/>
                              <w:spacing w:before="132"/>
                              <w:ind w:left="203" w:right="191"/>
                              <w:jc w:val="center"/>
                              <w:rPr>
                                <w:sz w:val="28"/>
                              </w:rPr>
                            </w:pPr>
                            <w:r>
                              <w:rPr>
                                <w:sz w:val="28"/>
                              </w:rPr>
                              <w:t>最高奖励（万元）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840" w:type="dxa"/>
                            <w:vMerge w:val="restart"/>
                          </w:tcPr>
                          <w:p>
                            <w:pPr>
                              <w:pStyle w:val="7"/>
                              <w:rPr>
                                <w:sz w:val="28"/>
                              </w:rPr>
                            </w:pPr>
                          </w:p>
                          <w:p>
                            <w:pPr>
                              <w:pStyle w:val="7"/>
                              <w:spacing w:before="3"/>
                              <w:rPr>
                                <w:sz w:val="28"/>
                              </w:rPr>
                            </w:pPr>
                          </w:p>
                          <w:p>
                            <w:pPr>
                              <w:pStyle w:val="7"/>
                              <w:ind w:left="299"/>
                              <w:rPr>
                                <w:sz w:val="28"/>
                              </w:rPr>
                            </w:pPr>
                            <w:r>
                              <w:rPr>
                                <w:sz w:val="28"/>
                              </w:rPr>
                              <w:t>核心文化产品出口</w:t>
                            </w:r>
                          </w:p>
                        </w:tc>
                        <w:tc>
                          <w:tcPr>
                            <w:tcW w:w="3001" w:type="dxa"/>
                          </w:tcPr>
                          <w:p>
                            <w:pPr>
                              <w:pStyle w:val="7"/>
                              <w:spacing w:before="39"/>
                              <w:ind w:left="625"/>
                              <w:rPr>
                                <w:sz w:val="28"/>
                              </w:rPr>
                            </w:pPr>
                            <w:r>
                              <w:rPr>
                                <w:sz w:val="28"/>
                              </w:rPr>
                              <w:t>2000 万及以上</w:t>
                            </w:r>
                          </w:p>
                        </w:tc>
                        <w:tc>
                          <w:tcPr>
                            <w:tcW w:w="2684" w:type="dxa"/>
                          </w:tcPr>
                          <w:p>
                            <w:pPr>
                              <w:pStyle w:val="7"/>
                              <w:spacing w:before="39"/>
                              <w:ind w:left="202" w:right="191"/>
                              <w:jc w:val="center"/>
                              <w:rPr>
                                <w:sz w:val="28"/>
                              </w:rPr>
                            </w:pPr>
                            <w:r>
                              <w:rPr>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2840" w:type="dxa"/>
                            <w:vMerge w:val="continue"/>
                            <w:tcBorders>
                              <w:top w:val="nil"/>
                            </w:tcBorders>
                          </w:tcPr>
                          <w:p>
                            <w:pPr>
                              <w:rPr>
                                <w:sz w:val="2"/>
                                <w:szCs w:val="2"/>
                              </w:rPr>
                            </w:pPr>
                          </w:p>
                        </w:tc>
                        <w:tc>
                          <w:tcPr>
                            <w:tcW w:w="3001" w:type="dxa"/>
                          </w:tcPr>
                          <w:p>
                            <w:pPr>
                              <w:pStyle w:val="7"/>
                              <w:spacing w:before="39"/>
                              <w:ind w:left="109"/>
                              <w:rPr>
                                <w:sz w:val="28"/>
                              </w:rPr>
                            </w:pPr>
                            <w:r>
                              <w:rPr>
                                <w:sz w:val="28"/>
                              </w:rPr>
                              <w:t>1000</w:t>
                            </w:r>
                            <w:r>
                              <w:rPr>
                                <w:spacing w:val="-39"/>
                                <w:sz w:val="28"/>
                              </w:rPr>
                              <w:t xml:space="preserve"> 万</w:t>
                            </w:r>
                            <w:r>
                              <w:rPr>
                                <w:spacing w:val="-3"/>
                                <w:sz w:val="28"/>
                              </w:rPr>
                              <w:t>（</w:t>
                            </w:r>
                            <w:r>
                              <w:rPr>
                                <w:sz w:val="28"/>
                              </w:rPr>
                              <w:t>含</w:t>
                            </w:r>
                            <w:r>
                              <w:rPr>
                                <w:spacing w:val="-3"/>
                                <w:sz w:val="28"/>
                              </w:rPr>
                              <w:t>）-2000</w:t>
                            </w:r>
                            <w:r>
                              <w:rPr>
                                <w:spacing w:val="-35"/>
                                <w:sz w:val="28"/>
                              </w:rPr>
                              <w:t xml:space="preserve"> 万</w:t>
                            </w:r>
                          </w:p>
                        </w:tc>
                        <w:tc>
                          <w:tcPr>
                            <w:tcW w:w="2684" w:type="dxa"/>
                          </w:tcPr>
                          <w:p>
                            <w:pPr>
                              <w:pStyle w:val="7"/>
                              <w:spacing w:before="39"/>
                              <w:ind w:left="202" w:right="191"/>
                              <w:jc w:val="center"/>
                              <w:rPr>
                                <w:sz w:val="28"/>
                              </w:rPr>
                            </w:pPr>
                            <w:r>
                              <w:rPr>
                                <w:sz w:val="2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2840" w:type="dxa"/>
                            <w:vMerge w:val="continue"/>
                            <w:tcBorders>
                              <w:top w:val="nil"/>
                            </w:tcBorders>
                          </w:tcPr>
                          <w:p>
                            <w:pPr>
                              <w:rPr>
                                <w:sz w:val="2"/>
                                <w:szCs w:val="2"/>
                              </w:rPr>
                            </w:pPr>
                          </w:p>
                        </w:tc>
                        <w:tc>
                          <w:tcPr>
                            <w:tcW w:w="3001" w:type="dxa"/>
                          </w:tcPr>
                          <w:p>
                            <w:pPr>
                              <w:pStyle w:val="7"/>
                              <w:spacing w:before="41"/>
                              <w:ind w:left="169"/>
                              <w:rPr>
                                <w:sz w:val="28"/>
                              </w:rPr>
                            </w:pPr>
                            <w:r>
                              <w:rPr>
                                <w:sz w:val="28"/>
                              </w:rPr>
                              <w:t>500 万（含）-1000 万</w:t>
                            </w:r>
                          </w:p>
                        </w:tc>
                        <w:tc>
                          <w:tcPr>
                            <w:tcW w:w="2684" w:type="dxa"/>
                          </w:tcPr>
                          <w:p>
                            <w:pPr>
                              <w:pStyle w:val="7"/>
                              <w:spacing w:before="41"/>
                              <w:ind w:left="202" w:right="191"/>
                              <w:jc w:val="center"/>
                              <w:rPr>
                                <w:sz w:val="28"/>
                              </w:rPr>
                            </w:pPr>
                            <w:r>
                              <w:rPr>
                                <w:sz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40" w:type="dxa"/>
                            <w:vMerge w:val="continue"/>
                            <w:tcBorders>
                              <w:top w:val="nil"/>
                            </w:tcBorders>
                          </w:tcPr>
                          <w:p>
                            <w:pPr>
                              <w:rPr>
                                <w:sz w:val="2"/>
                                <w:szCs w:val="2"/>
                              </w:rPr>
                            </w:pPr>
                          </w:p>
                        </w:tc>
                        <w:tc>
                          <w:tcPr>
                            <w:tcW w:w="3001" w:type="dxa"/>
                          </w:tcPr>
                          <w:p>
                            <w:pPr>
                              <w:pStyle w:val="7"/>
                              <w:spacing w:before="39" w:line="341" w:lineRule="exact"/>
                              <w:ind w:left="241"/>
                              <w:rPr>
                                <w:sz w:val="28"/>
                              </w:rPr>
                            </w:pPr>
                            <w:r>
                              <w:rPr>
                                <w:sz w:val="28"/>
                              </w:rPr>
                              <w:t>100 万（含）-500 万</w:t>
                            </w:r>
                          </w:p>
                        </w:tc>
                        <w:tc>
                          <w:tcPr>
                            <w:tcW w:w="2684" w:type="dxa"/>
                          </w:tcPr>
                          <w:p>
                            <w:pPr>
                              <w:pStyle w:val="7"/>
                              <w:spacing w:before="39" w:line="341" w:lineRule="exact"/>
                              <w:ind w:left="202" w:right="191"/>
                              <w:jc w:val="center"/>
                              <w:rPr>
                                <w:sz w:val="28"/>
                              </w:rPr>
                            </w:pPr>
                            <w:r>
                              <w:rPr>
                                <w:sz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840" w:type="dxa"/>
                            <w:vMerge w:val="restart"/>
                          </w:tcPr>
                          <w:p>
                            <w:pPr>
                              <w:pStyle w:val="7"/>
                              <w:rPr>
                                <w:sz w:val="28"/>
                              </w:rPr>
                            </w:pPr>
                          </w:p>
                          <w:p>
                            <w:pPr>
                              <w:pStyle w:val="7"/>
                              <w:spacing w:before="7"/>
                              <w:rPr>
                                <w:sz w:val="32"/>
                              </w:rPr>
                            </w:pPr>
                          </w:p>
                          <w:p>
                            <w:pPr>
                              <w:pStyle w:val="7"/>
                              <w:ind w:left="578"/>
                              <w:rPr>
                                <w:sz w:val="28"/>
                              </w:rPr>
                            </w:pPr>
                            <w:r>
                              <w:rPr>
                                <w:sz w:val="28"/>
                              </w:rPr>
                              <w:t>文化服务出口</w:t>
                            </w:r>
                          </w:p>
                        </w:tc>
                        <w:tc>
                          <w:tcPr>
                            <w:tcW w:w="3001" w:type="dxa"/>
                          </w:tcPr>
                          <w:p>
                            <w:pPr>
                              <w:pStyle w:val="7"/>
                              <w:spacing w:before="79"/>
                              <w:ind w:left="695"/>
                              <w:rPr>
                                <w:sz w:val="28"/>
                              </w:rPr>
                            </w:pPr>
                            <w:r>
                              <w:rPr>
                                <w:sz w:val="28"/>
                              </w:rPr>
                              <w:t>200 万及以上</w:t>
                            </w:r>
                          </w:p>
                        </w:tc>
                        <w:tc>
                          <w:tcPr>
                            <w:tcW w:w="2684" w:type="dxa"/>
                          </w:tcPr>
                          <w:p>
                            <w:pPr>
                              <w:pStyle w:val="7"/>
                              <w:spacing w:before="79"/>
                              <w:ind w:left="202" w:right="191"/>
                              <w:jc w:val="center"/>
                              <w:rPr>
                                <w:sz w:val="28"/>
                              </w:rPr>
                            </w:pPr>
                            <w:r>
                              <w:rPr>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840" w:type="dxa"/>
                            <w:vMerge w:val="continue"/>
                            <w:tcBorders>
                              <w:top w:val="nil"/>
                            </w:tcBorders>
                          </w:tcPr>
                          <w:p>
                            <w:pPr>
                              <w:rPr>
                                <w:sz w:val="2"/>
                                <w:szCs w:val="2"/>
                              </w:rPr>
                            </w:pPr>
                          </w:p>
                        </w:tc>
                        <w:tc>
                          <w:tcPr>
                            <w:tcW w:w="3001" w:type="dxa"/>
                          </w:tcPr>
                          <w:p>
                            <w:pPr>
                              <w:pStyle w:val="7"/>
                              <w:spacing w:before="65"/>
                              <w:ind w:left="241"/>
                              <w:rPr>
                                <w:sz w:val="28"/>
                              </w:rPr>
                            </w:pPr>
                            <w:r>
                              <w:rPr>
                                <w:sz w:val="28"/>
                              </w:rPr>
                              <w:t>100 万（含）-200 万</w:t>
                            </w:r>
                          </w:p>
                        </w:tc>
                        <w:tc>
                          <w:tcPr>
                            <w:tcW w:w="2684" w:type="dxa"/>
                          </w:tcPr>
                          <w:p>
                            <w:pPr>
                              <w:pStyle w:val="7"/>
                              <w:spacing w:before="65"/>
                              <w:ind w:left="202" w:right="191"/>
                              <w:jc w:val="center"/>
                              <w:rPr>
                                <w:sz w:val="28"/>
                              </w:rPr>
                            </w:pPr>
                            <w:r>
                              <w:rPr>
                                <w:sz w:val="2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840" w:type="dxa"/>
                            <w:vMerge w:val="continue"/>
                            <w:tcBorders>
                              <w:top w:val="nil"/>
                            </w:tcBorders>
                          </w:tcPr>
                          <w:p>
                            <w:pPr>
                              <w:rPr>
                                <w:sz w:val="2"/>
                                <w:szCs w:val="2"/>
                              </w:rPr>
                            </w:pPr>
                          </w:p>
                        </w:tc>
                        <w:tc>
                          <w:tcPr>
                            <w:tcW w:w="3001" w:type="dxa"/>
                          </w:tcPr>
                          <w:p>
                            <w:pPr>
                              <w:pStyle w:val="7"/>
                              <w:spacing w:before="72"/>
                              <w:ind w:left="311"/>
                              <w:rPr>
                                <w:sz w:val="28"/>
                              </w:rPr>
                            </w:pPr>
                            <w:r>
                              <w:rPr>
                                <w:sz w:val="28"/>
                              </w:rPr>
                              <w:t>50 万（含）-100 万</w:t>
                            </w:r>
                          </w:p>
                        </w:tc>
                        <w:tc>
                          <w:tcPr>
                            <w:tcW w:w="2684" w:type="dxa"/>
                          </w:tcPr>
                          <w:p>
                            <w:pPr>
                              <w:pStyle w:val="7"/>
                              <w:spacing w:before="72"/>
                              <w:ind w:left="202" w:right="191"/>
                              <w:jc w:val="center"/>
                              <w:rPr>
                                <w:sz w:val="28"/>
                              </w:rPr>
                            </w:pPr>
                            <w:r>
                              <w:rPr>
                                <w:sz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840" w:type="dxa"/>
                            <w:vMerge w:val="continue"/>
                            <w:tcBorders>
                              <w:top w:val="nil"/>
                            </w:tcBorders>
                          </w:tcPr>
                          <w:p>
                            <w:pPr>
                              <w:rPr>
                                <w:sz w:val="2"/>
                                <w:szCs w:val="2"/>
                              </w:rPr>
                            </w:pPr>
                          </w:p>
                        </w:tc>
                        <w:tc>
                          <w:tcPr>
                            <w:tcW w:w="3001" w:type="dxa"/>
                          </w:tcPr>
                          <w:p>
                            <w:pPr>
                              <w:pStyle w:val="7"/>
                              <w:spacing w:before="82"/>
                              <w:ind w:left="381"/>
                              <w:rPr>
                                <w:sz w:val="28"/>
                              </w:rPr>
                            </w:pPr>
                            <w:r>
                              <w:rPr>
                                <w:sz w:val="28"/>
                              </w:rPr>
                              <w:t>15 万（含）-50 万</w:t>
                            </w:r>
                          </w:p>
                        </w:tc>
                        <w:tc>
                          <w:tcPr>
                            <w:tcW w:w="2684" w:type="dxa"/>
                          </w:tcPr>
                          <w:p>
                            <w:pPr>
                              <w:pStyle w:val="7"/>
                              <w:spacing w:before="82"/>
                              <w:ind w:left="202" w:right="191"/>
                              <w:jc w:val="center"/>
                              <w:rPr>
                                <w:sz w:val="28"/>
                              </w:rPr>
                            </w:pPr>
                            <w:r>
                              <w:rPr>
                                <w:sz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5" w:hRule="atLeast"/>
                        </w:trPr>
                        <w:tc>
                          <w:tcPr>
                            <w:tcW w:w="8525" w:type="dxa"/>
                            <w:gridSpan w:val="3"/>
                          </w:tcPr>
                          <w:p>
                            <w:pPr>
                              <w:pStyle w:val="7"/>
                              <w:spacing w:before="72" w:line="295" w:lineRule="auto"/>
                              <w:ind w:left="107" w:right="93"/>
                              <w:rPr>
                                <w:sz w:val="28"/>
                              </w:rPr>
                            </w:pPr>
                            <w:r>
                              <w:rPr>
                                <w:sz w:val="28"/>
                              </w:rPr>
                              <w:t>注：1、核心文化产品出口额以年度海关出口数据为准，文化服务出口额以合同执行外汇收汇凭证为准；2、对外文化贸易核心文化产品</w:t>
                            </w:r>
                          </w:p>
                          <w:p>
                            <w:pPr>
                              <w:pStyle w:val="7"/>
                              <w:spacing w:line="292" w:lineRule="auto"/>
                              <w:ind w:left="107" w:right="93"/>
                              <w:rPr>
                                <w:sz w:val="28"/>
                              </w:rPr>
                            </w:pPr>
                            <w:r>
                              <w:rPr>
                                <w:spacing w:val="-6"/>
                                <w:sz w:val="28"/>
                              </w:rPr>
                              <w:t>或文化服务出口目录以《对外文化贸易统计体系</w:t>
                            </w:r>
                            <w:r>
                              <w:rPr>
                                <w:spacing w:val="-4"/>
                                <w:sz w:val="28"/>
                              </w:rPr>
                              <w:t>（2015）</w:t>
                            </w:r>
                            <w:r>
                              <w:rPr>
                                <w:spacing w:val="-39"/>
                                <w:sz w:val="28"/>
                              </w:rPr>
                              <w:t>》</w:t>
                            </w:r>
                            <w:r>
                              <w:rPr>
                                <w:sz w:val="28"/>
                              </w:rPr>
                              <w:t>（商办服贸函„2015‟485</w:t>
                            </w:r>
                            <w:r>
                              <w:rPr>
                                <w:spacing w:val="-35"/>
                                <w:sz w:val="28"/>
                              </w:rPr>
                              <w:t xml:space="preserve"> 号</w:t>
                            </w:r>
                            <w:r>
                              <w:rPr>
                                <w:sz w:val="28"/>
                              </w:rPr>
                              <w:t>）</w:t>
                            </w:r>
                            <w:r>
                              <w:rPr>
                                <w:spacing w:val="-1"/>
                                <w:sz w:val="28"/>
                              </w:rPr>
                              <w:t>文件为标准。</w:t>
                            </w:r>
                          </w:p>
                        </w:tc>
                      </w:tr>
                    </w:tbl>
                    <w:p>
                      <w:pPr>
                        <w:pStyle w:val="4"/>
                      </w:pPr>
                    </w:p>
                  </w:txbxContent>
                </v:textbox>
              </v:shape>
            </w:pict>
          </mc:Fallback>
        </mc:AlternateContent>
      </w:r>
      <w:r>
        <w:rPr>
          <w:spacing w:val="-6"/>
        </w:rPr>
        <w:t xml:space="preserve">和文化服务出口。对 </w:t>
      </w:r>
      <w:r>
        <w:t>2019</w:t>
      </w:r>
      <w:r>
        <w:rPr>
          <w:spacing w:val="-8"/>
        </w:rPr>
        <w:t xml:space="preserve"> 年已在浙江省国际服务贸易统计监测</w:t>
      </w:r>
      <w:r>
        <w:rPr>
          <w:spacing w:val="-5"/>
        </w:rPr>
        <w:t>系统内注册并正常填报文化服务出口数据的企业，</w:t>
      </w:r>
      <w:r>
        <w:t>2019</w:t>
      </w:r>
      <w:r>
        <w:rPr>
          <w:spacing w:val="4"/>
        </w:rPr>
        <w:t xml:space="preserve"> 年度核</w:t>
      </w:r>
      <w:r>
        <w:t>心文化产品出口额达到 100</w:t>
      </w:r>
      <w:r>
        <w:rPr>
          <w:spacing w:val="-9"/>
        </w:rPr>
        <w:t xml:space="preserve"> 万美元或者文化服务出口额达到 </w:t>
      </w:r>
      <w:r>
        <w:t>15 万美元的，给予一定奖励，标准如下：</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8"/>
        <w:rPr>
          <w:sz w:val="41"/>
        </w:rPr>
      </w:pPr>
    </w:p>
    <w:p>
      <w:pPr>
        <w:pStyle w:val="4"/>
        <w:spacing w:before="1" w:line="333" w:lineRule="auto"/>
        <w:ind w:left="786" w:right="792" w:firstLine="640"/>
      </w:pPr>
      <w:r>
        <w:t>7</w:t>
      </w:r>
      <w:r>
        <w:rPr>
          <w:color w:val="1A1F24"/>
          <w:spacing w:val="-66"/>
        </w:rPr>
        <w:t xml:space="preserve">、对 </w:t>
      </w:r>
      <w:r>
        <w:rPr>
          <w:color w:val="1A1F24"/>
        </w:rPr>
        <w:t>2019</w:t>
      </w:r>
      <w:r>
        <w:rPr>
          <w:color w:val="1A1F24"/>
          <w:spacing w:val="-55"/>
        </w:rPr>
        <w:t xml:space="preserve"> 年 </w:t>
      </w:r>
      <w:r>
        <w:rPr>
          <w:color w:val="1A1F24"/>
        </w:rPr>
        <w:t>1</w:t>
      </w:r>
      <w:r>
        <w:rPr>
          <w:color w:val="1A1F24"/>
          <w:spacing w:val="-54"/>
        </w:rPr>
        <w:t xml:space="preserve"> 月 </w:t>
      </w:r>
      <w:r>
        <w:rPr>
          <w:color w:val="1A1F24"/>
        </w:rPr>
        <w:t>1</w:t>
      </w:r>
      <w:r>
        <w:rPr>
          <w:color w:val="1A1F24"/>
          <w:spacing w:val="-41"/>
        </w:rPr>
        <w:t xml:space="preserve"> 日至 </w:t>
      </w:r>
      <w:r>
        <w:rPr>
          <w:color w:val="1A1F24"/>
        </w:rPr>
        <w:t>2020</w:t>
      </w:r>
      <w:r>
        <w:rPr>
          <w:color w:val="1A1F24"/>
          <w:spacing w:val="-54"/>
        </w:rPr>
        <w:t xml:space="preserve"> 年 </w:t>
      </w:r>
      <w:r>
        <w:rPr>
          <w:color w:val="1A1F24"/>
        </w:rPr>
        <w:t>9</w:t>
      </w:r>
      <w:r>
        <w:rPr>
          <w:color w:val="1A1F24"/>
          <w:spacing w:val="-54"/>
        </w:rPr>
        <w:t xml:space="preserve"> 月 </w:t>
      </w:r>
      <w:r>
        <w:rPr>
          <w:color w:val="1A1F24"/>
        </w:rPr>
        <w:t>30</w:t>
      </w:r>
      <w:r>
        <w:rPr>
          <w:color w:val="1A1F24"/>
          <w:spacing w:val="-11"/>
        </w:rPr>
        <w:t xml:space="preserve"> 日期间的重点文化</w:t>
      </w:r>
      <w:r>
        <w:rPr>
          <w:color w:val="1A1F24"/>
          <w:spacing w:val="-4"/>
        </w:rPr>
        <w:t xml:space="preserve">产业项目特别是涉“文化宁波 </w:t>
      </w:r>
      <w:r>
        <w:rPr>
          <w:color w:val="1A1F24"/>
        </w:rPr>
        <w:t>2020”建设计划推进的项目，且</w:t>
      </w:r>
    </w:p>
    <w:p>
      <w:pPr>
        <w:spacing w:after="0" w:line="333" w:lineRule="auto"/>
        <w:sectPr>
          <w:pgSz w:w="11910" w:h="16840"/>
          <w:pgMar w:top="1580" w:right="680" w:bottom="1460" w:left="800" w:header="0" w:footer="1271" w:gutter="0"/>
        </w:sectPr>
      </w:pPr>
    </w:p>
    <w:p>
      <w:pPr>
        <w:pStyle w:val="4"/>
        <w:spacing w:before="5"/>
        <w:rPr>
          <w:sz w:val="14"/>
        </w:rPr>
      </w:pPr>
    </w:p>
    <w:p>
      <w:pPr>
        <w:pStyle w:val="4"/>
        <w:spacing w:before="55" w:line="333" w:lineRule="auto"/>
        <w:ind w:left="786" w:right="633"/>
      </w:pPr>
      <w:r>
        <w:drawing>
          <wp:anchor distT="0" distB="0" distL="0" distR="0" simplePos="0" relativeHeight="485774336" behindDoc="1" locked="0" layoutInCell="1" allowOverlap="1">
            <wp:simplePos x="0" y="0"/>
            <wp:positionH relativeFrom="page">
              <wp:posOffset>2894330</wp:posOffset>
            </wp:positionH>
            <wp:positionV relativeFrom="paragraph">
              <wp:posOffset>85725</wp:posOffset>
            </wp:positionV>
            <wp:extent cx="85725" cy="155575"/>
            <wp:effectExtent l="0" t="0" r="9525" b="15875"/>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r:embed="rId6" cstate="print"/>
                    <a:stretch>
                      <a:fillRect/>
                    </a:stretch>
                  </pic:blipFill>
                  <pic:spPr>
                    <a:xfrm>
                      <a:off x="0" y="0"/>
                      <a:ext cx="85725" cy="155575"/>
                    </a:xfrm>
                    <a:prstGeom prst="rect">
                      <a:avLst/>
                    </a:prstGeom>
                  </pic:spPr>
                </pic:pic>
              </a:graphicData>
            </a:graphic>
          </wp:anchor>
        </w:drawing>
      </w:r>
      <w:r>
        <w:drawing>
          <wp:anchor distT="0" distB="0" distL="0" distR="0" simplePos="0" relativeHeight="485774336" behindDoc="1" locked="0" layoutInCell="1" allowOverlap="1">
            <wp:simplePos x="0" y="0"/>
            <wp:positionH relativeFrom="page">
              <wp:posOffset>3696335</wp:posOffset>
            </wp:positionH>
            <wp:positionV relativeFrom="paragraph">
              <wp:posOffset>1533525</wp:posOffset>
            </wp:positionV>
            <wp:extent cx="85725" cy="155575"/>
            <wp:effectExtent l="0" t="0" r="9525" b="15875"/>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a:picLocks noChangeAspect="1"/>
                    </pic:cNvPicPr>
                  </pic:nvPicPr>
                  <pic:blipFill>
                    <a:blip r:embed="rId7" cstate="print"/>
                    <a:stretch>
                      <a:fillRect/>
                    </a:stretch>
                  </pic:blipFill>
                  <pic:spPr>
                    <a:xfrm>
                      <a:off x="0" y="0"/>
                      <a:ext cx="85725" cy="155575"/>
                    </a:xfrm>
                    <a:prstGeom prst="rect">
                      <a:avLst/>
                    </a:prstGeom>
                  </pic:spPr>
                </pic:pic>
              </a:graphicData>
            </a:graphic>
          </wp:anchor>
        </w:drawing>
      </w:r>
      <w:r>
        <w:rPr>
          <w:color w:val="1A1F24"/>
          <w:spacing w:val="-10"/>
        </w:rPr>
        <w:t xml:space="preserve">项目完成进度超过 </w:t>
      </w:r>
      <w:r>
        <w:rPr>
          <w:color w:val="1A1F24"/>
        </w:rPr>
        <w:t>30</w:t>
      </w:r>
      <w:r>
        <w:rPr>
          <w:color w:val="1A1F24"/>
          <w:spacing w:val="-7"/>
        </w:rPr>
        <w:t>以上的，给予一定扶持。主要采取贷款贴</w:t>
      </w:r>
      <w:r>
        <w:rPr>
          <w:color w:val="1A1F24"/>
          <w:spacing w:val="-8"/>
        </w:rPr>
        <w:t>息和项目补助两种方式进行支持。对符合支持条件的文化企业通</w:t>
      </w:r>
      <w:r>
        <w:rPr>
          <w:color w:val="1A1F24"/>
          <w:spacing w:val="-13"/>
        </w:rPr>
        <w:t>过银行贷款实施重点发展项目所实际发生的利息给予补贴，每个</w:t>
      </w:r>
      <w:r>
        <w:rPr>
          <w:color w:val="1A1F24"/>
          <w:spacing w:val="-20"/>
        </w:rPr>
        <w:t xml:space="preserve">项目的贴息一般不超过 </w:t>
      </w:r>
      <w:r>
        <w:rPr>
          <w:color w:val="1A1F24"/>
        </w:rPr>
        <w:t>3</w:t>
      </w:r>
      <w:r>
        <w:rPr>
          <w:color w:val="1A1F24"/>
          <w:spacing w:val="-74"/>
        </w:rPr>
        <w:t xml:space="preserve"> 年，</w:t>
      </w:r>
      <w:r>
        <w:rPr>
          <w:spacing w:val="-11"/>
        </w:rPr>
        <w:t>贴息比例不高于实际贷款利息</w:t>
      </w:r>
      <w:r>
        <w:t>（</w:t>
      </w:r>
      <w:r>
        <w:rPr>
          <w:spacing w:val="-7"/>
        </w:rPr>
        <w:t xml:space="preserve">注： </w:t>
      </w:r>
      <w:r>
        <w:rPr>
          <w:color w:val="1A1F24"/>
        </w:rPr>
        <w:t>以第三方专项审计为准</w:t>
      </w:r>
      <w:r>
        <w:rPr>
          <w:spacing w:val="-15"/>
        </w:rPr>
        <w:t>）</w:t>
      </w:r>
      <w:r>
        <w:rPr>
          <w:spacing w:val="-43"/>
        </w:rPr>
        <w:t xml:space="preserve">的 </w:t>
      </w:r>
      <w:r>
        <w:rPr>
          <w:spacing w:val="-5"/>
        </w:rPr>
        <w:t>50</w:t>
      </w:r>
      <w:r>
        <w:rPr>
          <w:spacing w:val="-3"/>
        </w:rPr>
        <w:t>，每家企业最高贴息金额不超过</w:t>
      </w:r>
    </w:p>
    <w:p>
      <w:pPr>
        <w:pStyle w:val="4"/>
        <w:spacing w:line="333" w:lineRule="auto"/>
        <w:ind w:left="786" w:right="682"/>
      </w:pPr>
      <w:r>
        <w:t>10 万元；同时，已按《宁波市人民政府关于有效应对疫情促进</w:t>
      </w:r>
      <w:r>
        <w:rPr>
          <w:spacing w:val="-1"/>
        </w:rPr>
        <w:t>服务业平稳健康发展的意见</w:t>
      </w:r>
      <w:r>
        <w:t>（</w:t>
      </w:r>
      <w:r>
        <w:rPr>
          <w:spacing w:val="-2"/>
        </w:rPr>
        <w:t>甬政发„</w:t>
      </w:r>
      <w:r>
        <w:t>2020‟5</w:t>
      </w:r>
      <w:r>
        <w:rPr>
          <w:spacing w:val="-13"/>
        </w:rPr>
        <w:t xml:space="preserve"> 号</w:t>
      </w:r>
      <w:r>
        <w:rPr>
          <w:spacing w:val="-8"/>
        </w:rPr>
        <w:t>）</w:t>
      </w:r>
      <w:r>
        <w:rPr>
          <w:spacing w:val="-2"/>
        </w:rPr>
        <w:t>》有关规定</w:t>
      </w:r>
      <w:r>
        <w:rPr>
          <w:spacing w:val="-11"/>
        </w:rPr>
        <w:t>获得贴息支持的，已贴息的贷款不能重复申报。采取补助方式支持的，单个项目支持额度原则上不超过项目已完成投资额（</w:t>
      </w:r>
      <w:r>
        <w:rPr>
          <w:spacing w:val="-14"/>
        </w:rPr>
        <w:t xml:space="preserve">注： </w:t>
      </w:r>
      <w:r>
        <w:rPr>
          <w:color w:val="1A1F24"/>
        </w:rPr>
        <w:t>以第三方专项审计为准</w:t>
      </w:r>
      <w:r>
        <w:t>）的</w:t>
      </w:r>
      <w:r>
        <w:rPr>
          <w:spacing w:val="-81"/>
        </w:rPr>
        <w:t xml:space="preserve"> </w:t>
      </w:r>
      <w:r>
        <w:rPr>
          <w:spacing w:val="4"/>
        </w:rPr>
        <w:t>30</w:t>
      </w:r>
      <w:r>
        <w:rPr>
          <w:spacing w:val="10"/>
          <w:w w:val="99"/>
        </w:rPr>
        <w:drawing>
          <wp:inline distT="0" distB="0" distL="0" distR="0">
            <wp:extent cx="85725" cy="155575"/>
            <wp:effectExtent l="0" t="0" r="9525" b="15875"/>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a:picLocks noChangeAspect="1"/>
                    </pic:cNvPicPr>
                  </pic:nvPicPr>
                  <pic:blipFill>
                    <a:blip r:embed="rId7" cstate="print"/>
                    <a:stretch>
                      <a:fillRect/>
                    </a:stretch>
                  </pic:blipFill>
                  <pic:spPr>
                    <a:xfrm>
                      <a:off x="0" y="0"/>
                      <a:ext cx="85725" cy="155575"/>
                    </a:xfrm>
                    <a:prstGeom prst="rect">
                      <a:avLst/>
                    </a:prstGeom>
                  </pic:spPr>
                </pic:pic>
              </a:graphicData>
            </a:graphic>
          </wp:inline>
        </w:drawing>
      </w:r>
      <w:r>
        <w:t>，最高补助额不超过</w:t>
      </w:r>
      <w:r>
        <w:rPr>
          <w:spacing w:val="-78"/>
        </w:rPr>
        <w:t xml:space="preserve"> </w:t>
      </w:r>
      <w:r>
        <w:t>100</w:t>
      </w:r>
      <w:r>
        <w:rPr>
          <w:spacing w:val="-82"/>
        </w:rPr>
        <w:t xml:space="preserve"> </w:t>
      </w:r>
      <w:r>
        <w:t>万元。</w:t>
      </w:r>
    </w:p>
    <w:p>
      <w:pPr>
        <w:pStyle w:val="4"/>
        <w:spacing w:line="490" w:lineRule="exact"/>
        <w:ind w:left="1427"/>
        <w:rPr>
          <w:rFonts w:hint="eastAsia" w:ascii="微软雅黑" w:eastAsia="微软雅黑"/>
        </w:rPr>
      </w:pPr>
      <w:r>
        <w:rPr>
          <w:rFonts w:hint="eastAsia" w:ascii="微软雅黑" w:eastAsia="微软雅黑"/>
        </w:rPr>
        <w:t>三、申报条件</w:t>
      </w:r>
    </w:p>
    <w:p>
      <w:pPr>
        <w:pStyle w:val="4"/>
        <w:spacing w:before="81" w:line="333" w:lineRule="auto"/>
        <w:ind w:left="786" w:right="633" w:firstLine="640"/>
      </w:pPr>
      <w:r>
        <w:t>1</w:t>
      </w:r>
      <w:r>
        <w:rPr>
          <w:spacing w:val="-13"/>
        </w:rPr>
        <w:t>、专项资金扶持项目申报单位应是从事文化创意产业研发、</w:t>
      </w:r>
      <w:r>
        <w:t>生产、服务的企事业单位或社会组织。</w:t>
      </w:r>
    </w:p>
    <w:p>
      <w:pPr>
        <w:pStyle w:val="4"/>
        <w:spacing w:line="333" w:lineRule="auto"/>
        <w:ind w:left="786" w:right="791" w:firstLine="640"/>
        <w:jc w:val="both"/>
      </w:pPr>
      <w:r>
        <w:rPr>
          <w:spacing w:val="3"/>
        </w:rPr>
        <w:t>2</w:t>
      </w:r>
      <w:r>
        <w:t>、申报单位应具备下列条件：一是在宁波市行政区域内依</w:t>
      </w:r>
      <w:r>
        <w:rPr>
          <w:spacing w:val="-10"/>
        </w:rPr>
        <w:t>法注册登记；二是具有独立法人资格和健全的财务管理制度，会</w:t>
      </w:r>
      <w:r>
        <w:rPr>
          <w:spacing w:val="-15"/>
          <w:w w:val="95"/>
        </w:rPr>
        <w:t xml:space="preserve">计信用和纳税信用良好，会计核算规范、产权关系明晰、资产及 </w:t>
      </w:r>
      <w:r>
        <w:rPr>
          <w:spacing w:val="-16"/>
        </w:rPr>
        <w:t>经营状况良好；三是具有一定规模实力，成长性好；四是申报专</w:t>
      </w:r>
      <w:r>
        <w:rPr>
          <w:spacing w:val="-24"/>
        </w:rPr>
        <w:t xml:space="preserve">项资金的单位应在 </w:t>
      </w:r>
      <w:r>
        <w:t>2019</w:t>
      </w:r>
      <w:r>
        <w:rPr>
          <w:spacing w:val="-54"/>
        </w:rPr>
        <w:t xml:space="preserve"> 年 </w:t>
      </w:r>
      <w:r>
        <w:t>9</w:t>
      </w:r>
      <w:r>
        <w:rPr>
          <w:spacing w:val="-54"/>
        </w:rPr>
        <w:t xml:space="preserve"> 月 </w:t>
      </w:r>
      <w:r>
        <w:t>30</w:t>
      </w:r>
      <w:r>
        <w:rPr>
          <w:spacing w:val="-10"/>
        </w:rPr>
        <w:t xml:space="preserve"> 日前在宁波地区注册。</w:t>
      </w:r>
    </w:p>
    <w:p>
      <w:pPr>
        <w:pStyle w:val="4"/>
        <w:spacing w:before="2" w:line="333" w:lineRule="auto"/>
        <w:ind w:left="786" w:right="679" w:firstLine="640"/>
      </w:pPr>
      <w:r>
        <w:rPr>
          <w:spacing w:val="3"/>
        </w:rPr>
        <w:t>3</w:t>
      </w:r>
      <w:r>
        <w:t>、知识产权有争议的；项目单位因违法行为被执法部门依</w:t>
      </w:r>
      <w:r>
        <w:rPr>
          <w:spacing w:val="-14"/>
        </w:rPr>
        <w:t xml:space="preserve">法处罚未满 </w:t>
      </w:r>
      <w:r>
        <w:t>2</w:t>
      </w:r>
      <w:r>
        <w:rPr>
          <w:spacing w:val="-16"/>
        </w:rPr>
        <w:t xml:space="preserve"> 年(申报通知发文日前两年)的；未通过专家委员会</w:t>
      </w:r>
      <w:r>
        <w:rPr>
          <w:spacing w:val="-13"/>
        </w:rPr>
        <w:t>评审的；同一项目已获得市级其他同类专项资金支持的；应由政</w:t>
      </w:r>
      <w:r>
        <w:rPr>
          <w:spacing w:val="-14"/>
        </w:rPr>
        <w:t xml:space="preserve">府其他资金支持的；其他违反专项资金使用规定的行为等情况， </w:t>
      </w:r>
      <w:r>
        <w:t>不予支持。</w:t>
      </w:r>
    </w:p>
    <w:p>
      <w:pPr>
        <w:spacing w:after="0" w:line="333" w:lineRule="auto"/>
        <w:sectPr>
          <w:footerReference r:id="rId3" w:type="default"/>
          <w:footerReference r:id="rId4" w:type="even"/>
          <w:pgSz w:w="11910" w:h="16840"/>
          <w:pgMar w:top="1580" w:right="680" w:bottom="1460" w:left="800" w:header="0" w:footer="1271" w:gutter="0"/>
          <w:pgNumType w:start="10"/>
        </w:sectPr>
      </w:pPr>
    </w:p>
    <w:p>
      <w:pPr>
        <w:pStyle w:val="4"/>
        <w:spacing w:before="6"/>
        <w:rPr>
          <w:sz w:val="9"/>
        </w:rPr>
      </w:pPr>
    </w:p>
    <w:p>
      <w:pPr>
        <w:pStyle w:val="4"/>
        <w:spacing w:before="16"/>
        <w:ind w:left="1427"/>
        <w:rPr>
          <w:rFonts w:hint="eastAsia" w:ascii="微软雅黑" w:eastAsia="微软雅黑"/>
        </w:rPr>
      </w:pPr>
      <w:r>
        <w:rPr>
          <w:rFonts w:hint="eastAsia" w:ascii="微软雅黑" w:eastAsia="微软雅黑"/>
        </w:rPr>
        <w:t>四、申报材料</w:t>
      </w:r>
      <w:bookmarkStart w:id="0" w:name="_GoBack"/>
      <w:bookmarkEnd w:id="0"/>
    </w:p>
    <w:p>
      <w:pPr>
        <w:pStyle w:val="4"/>
        <w:spacing w:before="81" w:line="333" w:lineRule="auto"/>
        <w:ind w:left="786" w:right="789" w:firstLine="640"/>
        <w:jc w:val="both"/>
      </w:pPr>
      <w:r>
        <w:rPr>
          <w:spacing w:val="3"/>
        </w:rPr>
        <w:t>1</w:t>
      </w:r>
      <w:r>
        <w:t>、</w:t>
      </w:r>
      <w:r>
        <w:rPr>
          <w:color w:val="1A1F24"/>
        </w:rPr>
        <w:t>申报文化服务类项目需提交的材料：</w:t>
      </w:r>
      <w:r>
        <w:t>《宁波市文化产业</w:t>
      </w:r>
      <w:r>
        <w:rPr>
          <w:spacing w:val="-4"/>
        </w:rPr>
        <w:t>发展专项资金申报表</w:t>
      </w:r>
      <w:r>
        <w:t>（文化服务类</w:t>
      </w:r>
      <w:r>
        <w:rPr>
          <w:spacing w:val="-29"/>
        </w:rPr>
        <w:t>）</w:t>
      </w:r>
      <w:r>
        <w:rPr>
          <w:spacing w:val="-9"/>
        </w:rPr>
        <w:t>》及项目申报承诺书；营业</w:t>
      </w:r>
      <w:r>
        <w:rPr>
          <w:spacing w:val="-15"/>
        </w:rPr>
        <w:t>执照和法定代表人身份证明复印件；经会计师事务所审计的</w:t>
      </w:r>
      <w:r>
        <w:t xml:space="preserve">2018 </w:t>
      </w:r>
      <w:r>
        <w:rPr>
          <w:spacing w:val="1"/>
        </w:rPr>
        <w:t>年度、</w:t>
      </w:r>
      <w:r>
        <w:t>2019 年度企业财务报告</w:t>
      </w:r>
      <w:r>
        <w:rPr>
          <w:color w:val="auto"/>
        </w:rPr>
        <w:t>（电影院和书店除外</w:t>
      </w:r>
      <w:r>
        <w:rPr>
          <w:color w:val="auto"/>
          <w:spacing w:val="3"/>
        </w:rPr>
        <w:t>）</w:t>
      </w:r>
      <w:r>
        <w:t>；其他相关证明材料（详见该类申报表中具体要求）。</w:t>
      </w:r>
    </w:p>
    <w:p>
      <w:pPr>
        <w:pStyle w:val="4"/>
        <w:spacing w:before="2" w:line="333" w:lineRule="auto"/>
        <w:ind w:left="786" w:right="788" w:firstLine="640"/>
        <w:jc w:val="both"/>
      </w:pPr>
      <w:r>
        <w:t>2</w:t>
      </w:r>
      <w:r>
        <w:rPr>
          <w:spacing w:val="-11"/>
        </w:rPr>
        <w:t>、申报荣誉奖励类项目需提交的材料:《宁波市文化产业发</w:t>
      </w:r>
      <w:r>
        <w:rPr>
          <w:spacing w:val="-14"/>
          <w:w w:val="95"/>
        </w:rPr>
        <w:t>展专项资金申报表</w:t>
      </w:r>
      <w:r>
        <w:rPr>
          <w:w w:val="95"/>
        </w:rPr>
        <w:t>（荣誉奖励类</w:t>
      </w:r>
      <w:r>
        <w:rPr>
          <w:spacing w:val="-27"/>
          <w:w w:val="95"/>
        </w:rPr>
        <w:t>）</w:t>
      </w:r>
      <w:r>
        <w:rPr>
          <w:spacing w:val="-9"/>
          <w:w w:val="95"/>
        </w:rPr>
        <w:t xml:space="preserve">》及项目申报承诺书；营业执 </w:t>
      </w:r>
      <w:r>
        <w:rPr>
          <w:spacing w:val="-5"/>
        </w:rPr>
        <w:t xml:space="preserve">照和法定代表人身份证明复印件；经会计师事务所审计的 </w:t>
      </w:r>
      <w:r>
        <w:t xml:space="preserve">2018 </w:t>
      </w:r>
      <w:r>
        <w:rPr>
          <w:spacing w:val="1"/>
        </w:rPr>
        <w:t>年度、</w:t>
      </w:r>
      <w:r>
        <w:t>2019 年度企业财务报告；荣获相关奖项的证书或文件复印件；其他相关证明材料。</w:t>
      </w:r>
    </w:p>
    <w:p>
      <w:pPr>
        <w:pStyle w:val="4"/>
        <w:spacing w:line="333" w:lineRule="auto"/>
        <w:ind w:left="786" w:right="682" w:firstLine="640"/>
      </w:pPr>
      <w:r>
        <w:rPr>
          <w:spacing w:val="3"/>
        </w:rPr>
        <w:t>3</w:t>
      </w:r>
      <w:r>
        <w:t>、申报文化出口奖励类项目需提交的材料：《宁波市文化</w:t>
      </w:r>
      <w:r>
        <w:rPr>
          <w:spacing w:val="-4"/>
        </w:rPr>
        <w:t>产业发展专项资金申报表</w:t>
      </w:r>
      <w:r>
        <w:t>（文化出口奖励类</w:t>
      </w:r>
      <w:r>
        <w:rPr>
          <w:spacing w:val="-39"/>
        </w:rPr>
        <w:t>）</w:t>
      </w:r>
      <w:r>
        <w:rPr>
          <w:spacing w:val="-7"/>
        </w:rPr>
        <w:t>》及项目申报承诺</w:t>
      </w:r>
      <w:r>
        <w:rPr>
          <w:spacing w:val="-4"/>
        </w:rPr>
        <w:t>书;营业执照和法定代表人身份证明复印件；经会计师事务所审</w:t>
      </w:r>
      <w:r>
        <w:rPr>
          <w:spacing w:val="-30"/>
        </w:rPr>
        <w:t xml:space="preserve">计的 </w:t>
      </w:r>
      <w:r>
        <w:t>2018</w:t>
      </w:r>
      <w:r>
        <w:rPr>
          <w:spacing w:val="-36"/>
        </w:rPr>
        <w:t xml:space="preserve"> 年度、</w:t>
      </w:r>
      <w:r>
        <w:t>2019</w:t>
      </w:r>
      <w:r>
        <w:rPr>
          <w:spacing w:val="-12"/>
        </w:rPr>
        <w:t xml:space="preserve"> 年度企业财务报告；2019 年度核心文化产品或者文化服务出口单证复印件（</w:t>
      </w:r>
      <w:r>
        <w:rPr>
          <w:spacing w:val="-13"/>
        </w:rPr>
        <w:t>有效出口合同及中文翻译件、</w:t>
      </w:r>
      <w:r>
        <w:t>海关报关单、银行收汇凭证等）；其他相关证明材料。</w:t>
      </w:r>
    </w:p>
    <w:p>
      <w:pPr>
        <w:pStyle w:val="4"/>
        <w:spacing w:before="1" w:line="333" w:lineRule="auto"/>
        <w:ind w:left="786" w:right="792" w:firstLine="640"/>
        <w:jc w:val="both"/>
      </w:pPr>
      <w:r>
        <w:t>4</w:t>
      </w:r>
      <w:r>
        <w:rPr>
          <w:spacing w:val="-12"/>
        </w:rPr>
        <w:t>、贴息类项目需提交的材料:《宁波市文化产业发展专项资</w:t>
      </w:r>
      <w:r>
        <w:rPr>
          <w:spacing w:val="-7"/>
        </w:rPr>
        <w:t>金申请表</w:t>
      </w:r>
      <w:r>
        <w:t>（贴息类</w:t>
      </w:r>
      <w:r>
        <w:rPr>
          <w:spacing w:val="-29"/>
        </w:rPr>
        <w:t>）</w:t>
      </w:r>
      <w:r>
        <w:rPr>
          <w:spacing w:val="-9"/>
        </w:rPr>
        <w:t>》及项目申报承诺书；营业执照和法定代表</w:t>
      </w:r>
      <w:r>
        <w:rPr>
          <w:spacing w:val="-13"/>
        </w:rPr>
        <w:t xml:space="preserve">人身份证明复印件；经会计师事务所审计的 </w:t>
      </w:r>
      <w:r>
        <w:t>2018</w:t>
      </w:r>
      <w:r>
        <w:rPr>
          <w:spacing w:val="-26"/>
        </w:rPr>
        <w:t xml:space="preserve"> 年度、</w:t>
      </w:r>
      <w:r>
        <w:t>2019</w:t>
      </w:r>
      <w:r>
        <w:rPr>
          <w:spacing w:val="-43"/>
        </w:rPr>
        <w:t xml:space="preserve"> 年</w:t>
      </w:r>
      <w:r>
        <w:rPr>
          <w:spacing w:val="-22"/>
        </w:rPr>
        <w:t>度企业财务报告；企业及项目情况简介；用于申报项目的银行贷</w:t>
      </w:r>
      <w:r>
        <w:rPr>
          <w:spacing w:val="-10"/>
        </w:rPr>
        <w:t xml:space="preserve">款合同以及 </w:t>
      </w:r>
      <w:r>
        <w:t>2019</w:t>
      </w:r>
      <w:r>
        <w:rPr>
          <w:spacing w:val="-9"/>
        </w:rPr>
        <w:t xml:space="preserve"> 年以来已支付利息确认单及汇总表；贷款利息</w:t>
      </w:r>
      <w:r>
        <w:t>总额专项审计报告；其他相关证明材料。</w:t>
      </w:r>
    </w:p>
    <w:p>
      <w:pPr>
        <w:spacing w:after="0" w:line="333" w:lineRule="auto"/>
        <w:jc w:val="both"/>
        <w:sectPr>
          <w:pgSz w:w="11910" w:h="16840"/>
          <w:pgMar w:top="1580" w:right="680" w:bottom="1460" w:left="800" w:header="0" w:footer="1271" w:gutter="0"/>
        </w:sectPr>
      </w:pPr>
    </w:p>
    <w:p>
      <w:pPr>
        <w:pStyle w:val="4"/>
        <w:spacing w:before="5"/>
        <w:rPr>
          <w:sz w:val="14"/>
        </w:rPr>
      </w:pPr>
    </w:p>
    <w:p>
      <w:pPr>
        <w:pStyle w:val="4"/>
        <w:spacing w:before="55" w:line="333" w:lineRule="auto"/>
        <w:ind w:left="786" w:right="789" w:firstLine="640"/>
        <w:jc w:val="both"/>
      </w:pPr>
      <w:r>
        <w:rPr>
          <w:spacing w:val="3"/>
        </w:rPr>
        <w:t>5</w:t>
      </w:r>
      <w:r>
        <w:t>、申报其他补助类项目需提交的材料：《宁波市文化产业</w:t>
      </w:r>
      <w:r>
        <w:rPr>
          <w:spacing w:val="-4"/>
        </w:rPr>
        <w:t>发展专项资金申报表</w:t>
      </w:r>
      <w:r>
        <w:t>（补助类</w:t>
      </w:r>
      <w:r>
        <w:rPr>
          <w:spacing w:val="-29"/>
        </w:rPr>
        <w:t>）</w:t>
      </w:r>
      <w:r>
        <w:rPr>
          <w:spacing w:val="-9"/>
        </w:rPr>
        <w:t>》及项目申报承诺书；营业执照</w:t>
      </w:r>
      <w:r>
        <w:rPr>
          <w:spacing w:val="-12"/>
        </w:rPr>
        <w:t xml:space="preserve">和法定代表人身份证明复印件；经会计师事务所审计的 </w:t>
      </w:r>
      <w:r>
        <w:t>2018</w:t>
      </w:r>
      <w:r>
        <w:rPr>
          <w:spacing w:val="-31"/>
        </w:rPr>
        <w:t xml:space="preserve"> 年</w:t>
      </w:r>
      <w:r>
        <w:rPr>
          <w:spacing w:val="-14"/>
        </w:rPr>
        <w:t>度、</w:t>
      </w:r>
      <w:r>
        <w:t>2019 年度企业财务报告；企业及项目情况简介；项目可行</w:t>
      </w:r>
      <w:r>
        <w:rPr>
          <w:spacing w:val="-11"/>
        </w:rPr>
        <w:t>性研究报告；项目已完成投资情况专项审计报告；与项目相关合同；其他相关证明材料。</w:t>
      </w:r>
    </w:p>
    <w:p>
      <w:pPr>
        <w:pStyle w:val="4"/>
        <w:spacing w:line="489" w:lineRule="exact"/>
        <w:ind w:left="1427"/>
        <w:rPr>
          <w:rFonts w:hint="eastAsia" w:ascii="微软雅黑" w:eastAsia="微软雅黑"/>
        </w:rPr>
      </w:pPr>
      <w:r>
        <w:rPr>
          <w:rFonts w:hint="eastAsia" w:ascii="微软雅黑" w:eastAsia="微软雅黑"/>
        </w:rPr>
        <w:t>五、申报流程</w:t>
      </w:r>
    </w:p>
    <w:p>
      <w:pPr>
        <w:pStyle w:val="4"/>
        <w:spacing w:before="81" w:line="333" w:lineRule="auto"/>
        <w:ind w:left="786" w:right="800" w:firstLine="640"/>
      </w:pPr>
      <w:r>
        <w:rPr>
          <w:spacing w:val="6"/>
          <w:w w:val="95"/>
        </w:rPr>
        <w:t xml:space="preserve">本次宁波市文化产业发展专项资金扶持项目征集采取网上 </w:t>
      </w:r>
      <w:r>
        <w:rPr>
          <w:spacing w:val="6"/>
        </w:rPr>
        <w:t>申报，并需递交书面材料。</w:t>
      </w:r>
    </w:p>
    <w:p>
      <w:pPr>
        <w:pStyle w:val="4"/>
        <w:spacing w:line="333" w:lineRule="auto"/>
        <w:ind w:left="786" w:right="631" w:firstLine="640"/>
      </w:pPr>
      <w:r>
        <w:t>1、网上申报。申报单位应在浙朵云文化产业大数据服务平</w:t>
      </w:r>
      <w:r>
        <w:rPr>
          <w:spacing w:val="-22"/>
          <w:w w:val="95"/>
        </w:rPr>
        <w:t>台</w:t>
      </w:r>
      <w:r>
        <w:rPr>
          <w:spacing w:val="-1"/>
          <w:w w:val="95"/>
        </w:rPr>
        <w:t>（</w:t>
      </w:r>
      <w:r>
        <w:rPr>
          <w:spacing w:val="-10"/>
          <w:w w:val="95"/>
        </w:rPr>
        <w:t>以下简称“浙朵云”平台，网址：</w:t>
      </w:r>
      <w:r>
        <w:fldChar w:fldCharType="begin"/>
      </w:r>
      <w:r>
        <w:instrText xml:space="preserve"> HYPERLINK "http://nbwh.zdool.com/" \h </w:instrText>
      </w:r>
      <w:r>
        <w:fldChar w:fldCharType="separate"/>
      </w:r>
      <w:r>
        <w:rPr>
          <w:w w:val="95"/>
        </w:rPr>
        <w:t>http://nbwh.zdool.com</w:t>
      </w:r>
      <w:r>
        <w:rPr>
          <w:w w:val="95"/>
        </w:rPr>
        <w:fldChar w:fldCharType="end"/>
      </w:r>
      <w:r>
        <w:rPr>
          <w:w w:val="95"/>
        </w:rPr>
        <w:t xml:space="preserve">） </w:t>
      </w:r>
      <w:r>
        <w:t xml:space="preserve">进行电子申报。专项资金项目申报具体方法为：打开“浙朵云” </w:t>
      </w:r>
      <w:r>
        <w:rPr>
          <w:spacing w:val="-11"/>
        </w:rPr>
        <w:t>宁波平台，点击“账号注册”，注册完成后</w:t>
      </w:r>
      <w:r>
        <w:t>（已注册的企业不用</w:t>
      </w:r>
      <w:r>
        <w:rPr>
          <w:spacing w:val="-6"/>
        </w:rPr>
        <w:t>重新注册，但需更新数据和相关信息</w:t>
      </w:r>
      <w:r>
        <w:rPr>
          <w:spacing w:val="-38"/>
        </w:rPr>
        <w:t>）</w:t>
      </w:r>
      <w:r>
        <w:rPr>
          <w:spacing w:val="-6"/>
        </w:rPr>
        <w:t>，登陆平台并完善基础信</w:t>
      </w:r>
      <w:r>
        <w:rPr>
          <w:spacing w:val="-12"/>
        </w:rPr>
        <w:t>息，提交保存后，可点击“项目申报”进入“宁波市文化产业发</w:t>
      </w:r>
      <w:r>
        <w:rPr>
          <w:spacing w:val="-15"/>
        </w:rPr>
        <w:t>展专项资金”一栏，按不同申报类别进行电子申报，按要求填写内容并上传相关材料，点击“提交保存”后完成在线电子申报。</w:t>
      </w:r>
      <w:r>
        <w:rPr>
          <w:spacing w:val="-21"/>
        </w:rPr>
        <w:t xml:space="preserve">网上申报提交的附件须为 </w:t>
      </w:r>
      <w:r>
        <w:t>PDF</w:t>
      </w:r>
      <w:r>
        <w:rPr>
          <w:spacing w:val="-16"/>
        </w:rPr>
        <w:t xml:space="preserve"> 格式，图文清晰可辨，单个文件不</w:t>
      </w:r>
      <w:r>
        <w:rPr>
          <w:spacing w:val="-38"/>
        </w:rPr>
        <w:t xml:space="preserve">超过 </w:t>
      </w:r>
      <w:r>
        <w:t>5M，可提交多个文件。项目申报承诺书可在平台下载。</w:t>
      </w:r>
    </w:p>
    <w:p>
      <w:pPr>
        <w:pStyle w:val="4"/>
        <w:spacing w:before="2" w:line="333" w:lineRule="auto"/>
        <w:ind w:left="786" w:right="629" w:firstLine="640"/>
      </w:pPr>
      <w:r>
        <w:t>2</w:t>
      </w:r>
      <w:r>
        <w:rPr>
          <w:spacing w:val="-21"/>
        </w:rPr>
        <w:t>、纸质材料申报。完成网上申报的项目，经由各区县</w:t>
      </w:r>
      <w:r>
        <w:t>（市</w:t>
      </w:r>
      <w:r>
        <w:rPr>
          <w:spacing w:val="-84"/>
        </w:rPr>
        <w:t>）</w:t>
      </w:r>
      <w:r>
        <w:rPr>
          <w:spacing w:val="-12"/>
        </w:rPr>
        <w:t>、</w:t>
      </w:r>
      <w:r>
        <w:rPr>
          <w:spacing w:val="-11"/>
        </w:rPr>
        <w:t>功能区、有关单位文化产业职能部门初审通过后，可在系统中打</w:t>
      </w:r>
      <w:r>
        <w:rPr>
          <w:spacing w:val="-10"/>
        </w:rPr>
        <w:t>印《宁波市文化产业发展专项资金申报表》，确认申报表有水印</w:t>
      </w:r>
    </w:p>
    <w:p>
      <w:pPr>
        <w:spacing w:after="0" w:line="333" w:lineRule="auto"/>
        <w:sectPr>
          <w:pgSz w:w="11910" w:h="16840"/>
          <w:pgMar w:top="1580" w:right="680" w:bottom="1460" w:left="800" w:header="0" w:footer="1271" w:gutter="0"/>
        </w:sectPr>
      </w:pPr>
    </w:p>
    <w:p>
      <w:pPr>
        <w:pStyle w:val="4"/>
        <w:spacing w:before="5"/>
        <w:rPr>
          <w:sz w:val="14"/>
        </w:rPr>
      </w:pPr>
    </w:p>
    <w:p>
      <w:pPr>
        <w:pStyle w:val="4"/>
        <w:spacing w:before="55" w:line="333" w:lineRule="auto"/>
        <w:ind w:left="786" w:right="792"/>
      </w:pPr>
      <w:r>
        <w:rPr>
          <w:spacing w:val="-12"/>
        </w:rPr>
        <w:t>后，签字盖章后连同项目申报承诺书及其他相关书面材料一并报</w:t>
      </w:r>
      <w:r>
        <w:t>送（请务必保存系统生成的电子文本）。</w:t>
      </w:r>
    </w:p>
    <w:p>
      <w:pPr>
        <w:pStyle w:val="4"/>
        <w:spacing w:line="333" w:lineRule="auto"/>
        <w:ind w:left="786" w:right="632" w:firstLine="640"/>
      </w:pPr>
      <w:r>
        <w:rPr>
          <w:spacing w:val="3"/>
        </w:rPr>
        <w:t>3</w:t>
      </w:r>
      <w:r>
        <w:t>、各区县（市</w:t>
      </w:r>
      <w:r>
        <w:rPr>
          <w:spacing w:val="3"/>
        </w:rPr>
        <w:t>）</w:t>
      </w:r>
      <w:r>
        <w:t>、功能区所辖文化企业申报的项目，纸质</w:t>
      </w:r>
      <w:r>
        <w:rPr>
          <w:spacing w:val="-3"/>
        </w:rPr>
        <w:t>申报材料以所属区县</w:t>
      </w:r>
      <w:r>
        <w:t>（市</w:t>
      </w:r>
      <w:r>
        <w:rPr>
          <w:spacing w:val="-24"/>
        </w:rPr>
        <w:t>）</w:t>
      </w:r>
      <w:r>
        <w:rPr>
          <w:spacing w:val="-10"/>
        </w:rPr>
        <w:t>委宣传部、文旅、经信、商务等相关</w:t>
      </w:r>
      <w:r>
        <w:rPr>
          <w:spacing w:val="-17"/>
        </w:rPr>
        <w:t>部门经当地文化产业职能部门</w:t>
      </w:r>
      <w:r>
        <w:t>（文改办</w:t>
      </w:r>
      <w:r>
        <w:rPr>
          <w:spacing w:val="-92"/>
        </w:rPr>
        <w:t>）</w:t>
      </w:r>
      <w:r>
        <w:rPr>
          <w:spacing w:val="-12"/>
        </w:rPr>
        <w:t xml:space="preserve">、财政部门初审汇总后， </w:t>
      </w:r>
      <w:r>
        <w:rPr>
          <w:spacing w:val="-4"/>
        </w:rPr>
        <w:t>由当地文化产业职能部门</w:t>
      </w:r>
      <w:r>
        <w:t>（文改办</w:t>
      </w:r>
      <w:r>
        <w:rPr>
          <w:spacing w:val="-39"/>
        </w:rPr>
        <w:t>）</w:t>
      </w:r>
      <w:r>
        <w:rPr>
          <w:spacing w:val="-5"/>
        </w:rPr>
        <w:t>统一报市委宣传部</w:t>
      </w:r>
      <w:r>
        <w:t>（市文改办</w:t>
      </w:r>
      <w:r>
        <w:rPr>
          <w:spacing w:val="-39"/>
        </w:rPr>
        <w:t>）</w:t>
      </w:r>
      <w:r>
        <w:rPr>
          <w:spacing w:val="-10"/>
        </w:rPr>
        <w:t>。宁波日报报业集团、宁波广播电视集团所辖的文化企事业单位经由集团审核后，报市委宣传部（市文改办）。</w:t>
      </w:r>
    </w:p>
    <w:p>
      <w:pPr>
        <w:pStyle w:val="4"/>
        <w:spacing w:before="1" w:line="333" w:lineRule="auto"/>
        <w:ind w:left="786" w:right="787" w:firstLine="640"/>
        <w:jc w:val="both"/>
      </w:pPr>
      <w:r>
        <w:rPr>
          <w:spacing w:val="3"/>
        </w:rPr>
        <w:t>4</w:t>
      </w:r>
      <w:r>
        <w:t>、所有纸质申报材料均需签署意见并加盖单位公章，加封</w:t>
      </w:r>
      <w:r>
        <w:rPr>
          <w:spacing w:val="-10"/>
        </w:rPr>
        <w:t>面后按顺序装订。无法提供相应材料的需提供说明。未按规定提</w:t>
      </w:r>
      <w:r>
        <w:rPr>
          <w:spacing w:val="-16"/>
        </w:rPr>
        <w:t>交申报材料的视为无效申报。项目纸质申报材料由各地文化产业</w:t>
      </w:r>
      <w:r>
        <w:rPr>
          <w:spacing w:val="-18"/>
        </w:rPr>
        <w:t>职能部门</w:t>
      </w:r>
      <w:r>
        <w:t>（文改办</w:t>
      </w:r>
      <w:r>
        <w:rPr>
          <w:spacing w:val="-24"/>
        </w:rPr>
        <w:t>）</w:t>
      </w:r>
      <w:r>
        <w:rPr>
          <w:spacing w:val="-3"/>
        </w:rPr>
        <w:t>统一向市委宣传部</w:t>
      </w:r>
      <w:r>
        <w:t>（市文改办</w:t>
      </w:r>
      <w:r>
        <w:rPr>
          <w:spacing w:val="-24"/>
        </w:rPr>
        <w:t>）</w:t>
      </w:r>
      <w:r>
        <w:rPr>
          <w:spacing w:val="-5"/>
        </w:rPr>
        <w:t>报送，同时</w:t>
      </w:r>
      <w:r>
        <w:rPr>
          <w:spacing w:val="-14"/>
        </w:rPr>
        <w:t>提交申请文件和初审报告。其中，申请文件需由各地文化产业职</w:t>
      </w:r>
      <w:r>
        <w:rPr>
          <w:spacing w:val="-19"/>
        </w:rPr>
        <w:t>能部门</w:t>
      </w:r>
      <w:r>
        <w:t>（文改办</w:t>
      </w:r>
      <w:r>
        <w:rPr>
          <w:spacing w:val="-27"/>
        </w:rPr>
        <w:t>）</w:t>
      </w:r>
      <w:r>
        <w:rPr>
          <w:spacing w:val="-7"/>
        </w:rPr>
        <w:t>发文；初审报告包括初审工作组织情况、申报</w:t>
      </w:r>
      <w:r>
        <w:rPr>
          <w:spacing w:val="-13"/>
        </w:rPr>
        <w:t>项目情况、初审意见、申报项目汇总表等内容，需加盖单位公章</w:t>
      </w:r>
      <w:r>
        <w:rPr>
          <w:spacing w:val="-16"/>
        </w:rPr>
        <w:t>后作为独立文件上报，不能作为申请文件附件。宁波日报报业集团、宁波广播电视集团参照上述要求开展工作。</w:t>
      </w:r>
    </w:p>
    <w:p>
      <w:pPr>
        <w:pStyle w:val="4"/>
        <w:spacing w:line="488" w:lineRule="exact"/>
        <w:ind w:left="1427"/>
        <w:rPr>
          <w:rFonts w:hint="eastAsia" w:ascii="微软雅黑" w:eastAsia="微软雅黑"/>
        </w:rPr>
      </w:pPr>
      <w:r>
        <w:rPr>
          <w:rFonts w:hint="eastAsia" w:ascii="微软雅黑" w:eastAsia="微软雅黑"/>
        </w:rPr>
        <w:t>六、其他事项</w:t>
      </w:r>
    </w:p>
    <w:p>
      <w:pPr>
        <w:pStyle w:val="4"/>
        <w:spacing w:before="84" w:line="333" w:lineRule="auto"/>
        <w:ind w:left="786" w:right="792" w:firstLine="640"/>
        <w:jc w:val="both"/>
      </w:pPr>
      <w:r>
        <w:rPr>
          <w:spacing w:val="3"/>
        </w:rPr>
        <w:t>1</w:t>
      </w:r>
      <w:r>
        <w:t>、各申报单位需认真填写申报信息和相关联系方式，电子</w:t>
      </w:r>
      <w:r>
        <w:rPr>
          <w:spacing w:val="-5"/>
        </w:rPr>
        <w:t>申报材料不符要求或需补充完善，市委宣传部</w:t>
      </w:r>
      <w:r>
        <w:t>（市文改办</w:t>
      </w:r>
      <w:r>
        <w:rPr>
          <w:spacing w:val="-38"/>
        </w:rPr>
        <w:t>）</w:t>
      </w:r>
      <w:r>
        <w:rPr>
          <w:spacing w:val="-6"/>
        </w:rPr>
        <w:t>将通</w:t>
      </w:r>
      <w:r>
        <w:rPr>
          <w:spacing w:val="-10"/>
        </w:rPr>
        <w:t>过网络受理模块或电话联系，及时向属地或各申报单位提出修改</w:t>
      </w:r>
      <w:r>
        <w:t>意见，修改后可重新上传。</w:t>
      </w:r>
    </w:p>
    <w:p>
      <w:pPr>
        <w:spacing w:after="0" w:line="333" w:lineRule="auto"/>
        <w:jc w:val="both"/>
        <w:sectPr>
          <w:pgSz w:w="11910" w:h="16840"/>
          <w:pgMar w:top="1580" w:right="680" w:bottom="1460" w:left="800" w:header="0" w:footer="1271" w:gutter="0"/>
        </w:sectPr>
      </w:pPr>
    </w:p>
    <w:p>
      <w:pPr>
        <w:pStyle w:val="4"/>
        <w:spacing w:before="5"/>
        <w:rPr>
          <w:sz w:val="14"/>
        </w:rPr>
      </w:pPr>
    </w:p>
    <w:p>
      <w:pPr>
        <w:pStyle w:val="4"/>
        <w:spacing w:before="55" w:line="333" w:lineRule="auto"/>
        <w:ind w:left="786" w:right="792" w:firstLine="640"/>
        <w:jc w:val="both"/>
      </w:pPr>
      <w:r>
        <w:rPr>
          <w:spacing w:val="3"/>
        </w:rPr>
        <w:t>2</w:t>
      </w:r>
      <w:r>
        <w:t>、纸质申报材料要求一式三份，内容须与网上申报材料内</w:t>
      </w:r>
      <w:r>
        <w:rPr>
          <w:spacing w:val="-11"/>
          <w:w w:val="95"/>
        </w:rPr>
        <w:t xml:space="preserve">容一致，封面需加盖申报单位公章，内容文本制作要求环保、精 </w:t>
      </w:r>
      <w:r>
        <w:rPr>
          <w:spacing w:val="-14"/>
        </w:rPr>
        <w:t xml:space="preserve">简、节约，不铺张浪费，采用 </w:t>
      </w:r>
      <w:r>
        <w:t>A4</w:t>
      </w:r>
      <w:r>
        <w:rPr>
          <w:spacing w:val="-9"/>
        </w:rPr>
        <w:t xml:space="preserve"> 纸双面打印，于左侧胶装成册</w:t>
      </w:r>
    </w:p>
    <w:p>
      <w:pPr>
        <w:pStyle w:val="4"/>
        <w:spacing w:line="409" w:lineRule="exact"/>
        <w:ind w:left="786"/>
        <w:jc w:val="both"/>
      </w:pPr>
      <w:r>
        <w:t>（纸质材料不退还）</w:t>
      </w:r>
      <w:r>
        <w:rPr>
          <w:spacing w:val="-10"/>
        </w:rPr>
        <w:t xml:space="preserve">。所有材料应于 </w:t>
      </w:r>
      <w:r>
        <w:t>2020</w:t>
      </w:r>
      <w:r>
        <w:rPr>
          <w:spacing w:val="-50"/>
        </w:rPr>
        <w:t xml:space="preserve"> 年 </w:t>
      </w:r>
      <w:r>
        <w:t>11</w:t>
      </w:r>
      <w:r>
        <w:rPr>
          <w:spacing w:val="-50"/>
        </w:rPr>
        <w:t xml:space="preserve"> 月 </w:t>
      </w:r>
      <w:r>
        <w:t>16</w:t>
      </w:r>
      <w:r>
        <w:rPr>
          <w:spacing w:val="-16"/>
        </w:rPr>
        <w:t xml:space="preserve"> 日前统一</w:t>
      </w:r>
    </w:p>
    <w:p>
      <w:pPr>
        <w:pStyle w:val="4"/>
        <w:spacing w:before="161" w:line="333" w:lineRule="auto"/>
        <w:ind w:left="786" w:right="788"/>
        <w:jc w:val="both"/>
      </w:pPr>
      <w:r>
        <w:t>报送至：宁波市委宣传部文化产业发展处（宁波市宁穿路 2001 号），逾期一律不再受理。收件联系人：胡德操，89182782。</w:t>
      </w:r>
    </w:p>
    <w:p>
      <w:pPr>
        <w:pStyle w:val="4"/>
        <w:spacing w:before="1" w:line="333" w:lineRule="auto"/>
        <w:ind w:left="786" w:right="794" w:firstLine="640"/>
        <w:jc w:val="both"/>
      </w:pPr>
      <w:r>
        <w:rPr>
          <w:spacing w:val="3"/>
        </w:rPr>
        <w:t>3</w:t>
      </w:r>
      <w:r>
        <w:t>、申报项目按程序进行评审，宁波市文化产业发展专项资</w:t>
      </w:r>
      <w:r>
        <w:rPr>
          <w:spacing w:val="-6"/>
        </w:rPr>
        <w:t>金拟扶持项目经市委宣传部部务会议审议通过后向社会公示，公</w:t>
      </w:r>
      <w:r>
        <w:t>示无异议后，由市财政局安排下达扶持资金。</w:t>
      </w:r>
    </w:p>
    <w:p>
      <w:pPr>
        <w:pStyle w:val="4"/>
        <w:spacing w:line="409" w:lineRule="exact"/>
        <w:ind w:left="1427"/>
      </w:pPr>
      <w:r>
        <w:t>附件：</w:t>
      </w:r>
    </w:p>
    <w:p>
      <w:pPr>
        <w:pStyle w:val="4"/>
        <w:spacing w:before="161" w:line="333" w:lineRule="auto"/>
        <w:ind w:left="786" w:right="790" w:firstLine="640"/>
      </w:pPr>
      <w:r>
        <w:t>1、宁波市文化产业发展专项资金扶持项目申报表</w:t>
      </w:r>
      <w:r>
        <w:rPr>
          <w:spacing w:val="7"/>
        </w:rPr>
        <w:t>（</w:t>
      </w:r>
      <w:r>
        <w:rPr>
          <w:spacing w:val="1"/>
        </w:rPr>
        <w:t>文化服务类）；</w:t>
      </w:r>
    </w:p>
    <w:p>
      <w:pPr>
        <w:pStyle w:val="4"/>
        <w:spacing w:before="1" w:line="333" w:lineRule="auto"/>
        <w:ind w:left="786" w:right="789" w:firstLine="640"/>
      </w:pPr>
      <w:r>
        <w:rPr>
          <w:spacing w:val="3"/>
        </w:rPr>
        <w:t>2</w:t>
      </w:r>
      <w:r>
        <w:t>、宁波市文化产业发展专项资金扶持项目申报表（荣誉奖励类）；</w:t>
      </w:r>
    </w:p>
    <w:p>
      <w:pPr>
        <w:pStyle w:val="4"/>
        <w:spacing w:line="333" w:lineRule="auto"/>
        <w:ind w:left="786" w:right="840" w:firstLine="640"/>
      </w:pPr>
      <w:r>
        <w:t>3、宁波市文化产业发展专项资金扶持项目申报表（文化出口奖励类）；</w:t>
      </w:r>
    </w:p>
    <w:p>
      <w:pPr>
        <w:pStyle w:val="4"/>
        <w:ind w:left="1427"/>
      </w:pPr>
      <w:r>
        <w:t>4、宁波市文化产业发展专项资金申请表（贴息类）；</w:t>
      </w:r>
    </w:p>
    <w:p>
      <w:pPr>
        <w:pStyle w:val="4"/>
        <w:spacing w:before="159"/>
        <w:ind w:left="1427"/>
      </w:pPr>
      <w:r>
        <w:t>5、宁波市文化产业发展专项资金扶持项目申报表(补助类)；</w:t>
      </w:r>
    </w:p>
    <w:p>
      <w:pPr>
        <w:pStyle w:val="4"/>
        <w:spacing w:before="161"/>
        <w:ind w:left="1427"/>
      </w:pPr>
      <w:r>
        <w:t>6、宁波市文化产业发展专项资金申报项目汇总表。</w:t>
      </w:r>
    </w:p>
    <w:p>
      <w:pPr>
        <w:spacing w:after="0"/>
        <w:sectPr>
          <w:pgSz w:w="11910" w:h="16840"/>
          <w:pgMar w:top="1580" w:right="680" w:bottom="1460" w:left="800" w:header="0" w:footer="1271" w:gutter="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PMingLiU">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5773312" behindDoc="1" locked="0" layoutInCell="1" allowOverlap="1">
              <wp:simplePos x="0" y="0"/>
              <wp:positionH relativeFrom="page">
                <wp:posOffset>5878195</wp:posOffset>
              </wp:positionH>
              <wp:positionV relativeFrom="page">
                <wp:posOffset>9745345</wp:posOffset>
              </wp:positionV>
              <wp:extent cx="56007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62.85pt;margin-top:767.35pt;height:16.05pt;width:44.1pt;mso-position-horizontal-relative:page;mso-position-vertical-relative:page;z-index:-17543168;mso-width-relative:page;mso-height-relative:page;" filled="f" stroked="f" coordsize="21600,21600" o:gfxdata="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kb/IdsAAAAOAQAADwAAAAAA&#10;AAABACAAAAAiAAAAZHJzL2Rvd25yZXYueG1sUEsBAhQAFAAAAAgAh07iQBcaowKeAQAAIwMAAA4A&#10;AAAAAAAAAQAgAAAAKgEAAGRycy9lMm9Eb2MueG1sUEsFBgAAAAAGAAYAWQEAADo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485773312" behindDoc="1" locked="0" layoutInCell="1" allowOverlap="1">
              <wp:simplePos x="0" y="0"/>
              <wp:positionH relativeFrom="page">
                <wp:posOffset>994410</wp:posOffset>
              </wp:positionH>
              <wp:positionV relativeFrom="page">
                <wp:posOffset>9745345</wp:posOffset>
              </wp:positionV>
              <wp:extent cx="560070" cy="203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8.3pt;margin-top:767.35pt;height:16.05pt;width:44.1pt;mso-position-horizontal-relative:page;mso-position-vertical-relative:page;z-index:-17543168;mso-width-relative:page;mso-height-relative:page;" filled="f" stroked="f" coordsize="21600,21600" o:gfxdata="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e9ASe9kAAAANAQAADwAAAAAAAAAB&#10;ACAAAAAiAAAAZHJzL2Rvd25yZXYueG1sUEsBAhQAFAAAAAgAh07iQLz/gZ+dAQAAIwMAAA4AAAAA&#10;AAAAAQAgAAAAKAEAAGRycy9lMm9Eb2MueG1sUEsFBgAAAAAGAAYAWQEAADc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C121F"/>
    <w:rsid w:val="7C7C1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1454" w:right="800"/>
      <w:outlineLvl w:val="1"/>
    </w:pPr>
    <w:rPr>
      <w:rFonts w:ascii="微软雅黑" w:hAnsi="微软雅黑" w:eastAsia="微软雅黑" w:cs="微软雅黑"/>
      <w:b/>
      <w:bCs/>
      <w:sz w:val="44"/>
      <w:szCs w:val="44"/>
      <w:lang w:val="en-US" w:eastAsia="zh-CN" w:bidi="ar-SA"/>
    </w:rPr>
  </w:style>
  <w:style w:type="paragraph" w:styleId="3">
    <w:name w:val="heading 2"/>
    <w:basedOn w:val="1"/>
    <w:next w:val="1"/>
    <w:qFormat/>
    <w:uiPriority w:val="1"/>
    <w:pPr>
      <w:spacing w:before="22"/>
      <w:ind w:left="3007" w:right="1479" w:hanging="1983"/>
      <w:outlineLvl w:val="2"/>
    </w:pPr>
    <w:rPr>
      <w:rFonts w:ascii="PMingLiU" w:hAnsi="PMingLiU" w:eastAsia="PMingLiU" w:cs="PMingLiU"/>
      <w:sz w:val="44"/>
      <w:szCs w:val="4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en-US" w:eastAsia="zh-CN" w:bidi="ar-SA"/>
    </w:rPr>
  </w:style>
  <w:style w:type="paragraph" w:customStyle="1" w:styleId="7">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2020-11-09T06:39:00Z</dcterms:created>
  <dc:creator>Administrator</dc:creator>
  <cp:lastModifiedBy>Administrator</cp:lastModifiedBy>
  <dcterms:modified xsi:type="dcterms:W3CDTF">2020-11-09T06:42:40Z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