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Lines="50" w:afterLines="50"/>
        <w:ind w:firstLine="601"/>
        <w:jc w:val="center"/>
        <w:rPr>
          <w:rFonts w:asciiTheme="majorEastAsia" w:hAnsiTheme="majorEastAsia" w:eastAsiaTheme="majorEastAsia"/>
          <w:b/>
          <w:sz w:val="40"/>
          <w:szCs w:val="32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0"/>
          <w:szCs w:val="32"/>
        </w:rPr>
        <w:t>农村公路新改建工程市级补助标准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1710"/>
        <w:gridCol w:w="4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地区</w:t>
            </w:r>
          </w:p>
        </w:tc>
        <w:tc>
          <w:tcPr>
            <w:tcW w:w="1710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补助标准</w:t>
            </w:r>
          </w:p>
        </w:tc>
        <w:tc>
          <w:tcPr>
            <w:tcW w:w="4741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四明山区和“16+3”区域</w:t>
            </w:r>
          </w:p>
        </w:tc>
        <w:tc>
          <w:tcPr>
            <w:tcW w:w="17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80万/公里</w:t>
            </w:r>
          </w:p>
        </w:tc>
        <w:tc>
          <w:tcPr>
            <w:tcW w:w="4741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“16+3”区域范围按《中共宁波市委 宁波市人民政府关于推进相对欠发达地区跨越式发展的若干意见》（甬党〔2011〕19号）执行；四明山区范围按《宁波市人民政府办公厅关于印发宁波市四明山区域发展规划纲要（2016-2020）的通知》（甬政办发〔2017〕27号）执行。</w:t>
            </w:r>
          </w:p>
        </w:tc>
      </w:tr>
    </w:tbl>
    <w:p>
      <w:r>
        <w:rPr>
          <w:rFonts w:hint="eastAsia" w:ascii="仿宋_GB2312" w:hAnsi="仿宋" w:eastAsia="仿宋_GB2312"/>
          <w:sz w:val="32"/>
          <w:szCs w:val="32"/>
        </w:rPr>
        <w:t>备注：其他地区按照现行标准执行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21825"/>
    <w:rsid w:val="5F02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2020-11-20T06:53:00Z</dcterms:created>
  <dc:creator>pc</dc:creator>
  <cp:lastModifiedBy>pc</cp:lastModifiedBy>
  <dcterms:modified xsi:type="dcterms:W3CDTF">2020-11-20T06:53:27Z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