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_GB2312" w:eastAsia="楷体_GB2312"/>
          <w:sz w:val="32"/>
          <w:szCs w:val="32"/>
        </w:rPr>
      </w:pPr>
      <w:r>
        <w:rPr>
          <w:rFonts w:hint="eastAsia" w:ascii="黑体" w:hAnsi="黑体" w:eastAsia="黑体"/>
          <w:sz w:val="32"/>
          <w:szCs w:val="32"/>
        </w:rPr>
        <w:t>附件3</w:t>
      </w:r>
    </w:p>
    <w:p>
      <w:pPr>
        <w:ind w:firstLine="601"/>
        <w:jc w:val="center"/>
        <w:rPr>
          <w:rFonts w:asciiTheme="majorEastAsia" w:hAnsiTheme="majorEastAsia" w:eastAsiaTheme="majorEastAsia"/>
          <w:b/>
          <w:sz w:val="40"/>
          <w:szCs w:val="32"/>
        </w:rPr>
      </w:pPr>
      <w:bookmarkStart w:id="0" w:name="_GoBack"/>
      <w:r>
        <w:rPr>
          <w:rFonts w:hint="eastAsia" w:asciiTheme="majorEastAsia" w:hAnsiTheme="majorEastAsia" w:eastAsiaTheme="majorEastAsia"/>
          <w:b/>
          <w:sz w:val="40"/>
          <w:szCs w:val="32"/>
        </w:rPr>
        <w:t>水路交通设施建设项目市级补助标准</w:t>
      </w:r>
    </w:p>
    <w:bookmarkEnd w:id="0"/>
    <w:tbl>
      <w:tblPr>
        <w:tblStyle w:val="2"/>
        <w:tblpPr w:leftFromText="181" w:rightFromText="181" w:vertAnchor="text" w:tblpY="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82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类别</w:t>
            </w:r>
          </w:p>
        </w:tc>
        <w:tc>
          <w:tcPr>
            <w:tcW w:w="3827" w:type="dxa"/>
          </w:tcPr>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补助标准</w:t>
            </w:r>
          </w:p>
        </w:tc>
        <w:tc>
          <w:tcPr>
            <w:tcW w:w="3544" w:type="dxa"/>
          </w:tcPr>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60" w:lineRule="exact"/>
              <w:jc w:val="center"/>
              <w:rPr>
                <w:rFonts w:ascii="仿宋_GB2312" w:hAnsi="仿宋" w:eastAsia="仿宋_GB2312"/>
                <w:sz w:val="32"/>
                <w:szCs w:val="32"/>
              </w:rPr>
            </w:pPr>
            <w:r>
              <w:rPr>
                <w:rFonts w:hint="eastAsia" w:ascii="仿宋_GB2312" w:hAnsi="仿宋" w:eastAsia="仿宋_GB2312"/>
                <w:sz w:val="32"/>
                <w:szCs w:val="32"/>
              </w:rPr>
              <w:t>陆岛码头、（沿海渡埠）改造</w:t>
            </w:r>
          </w:p>
        </w:tc>
        <w:tc>
          <w:tcPr>
            <w:tcW w:w="3827" w:type="dxa"/>
            <w:vAlign w:val="center"/>
          </w:tcPr>
          <w:p>
            <w:pPr>
              <w:spacing w:line="460" w:lineRule="exact"/>
              <w:jc w:val="left"/>
              <w:rPr>
                <w:rFonts w:ascii="仿宋_GB2312" w:hAnsi="仿宋" w:eastAsia="仿宋_GB2312"/>
                <w:sz w:val="32"/>
                <w:szCs w:val="32"/>
              </w:rPr>
            </w:pPr>
            <w:r>
              <w:rPr>
                <w:rFonts w:hint="eastAsia" w:ascii="仿宋_GB2312" w:hAnsi="仿宋" w:eastAsia="仿宋_GB2312"/>
                <w:sz w:val="32"/>
                <w:szCs w:val="32"/>
              </w:rPr>
              <w:t>客运码头按照工程费用的60%进行补助，每个泊位补助不超过100万元；滚装码头按照工程费用的50%进行补助，每个泊位补助不超过300万元。</w:t>
            </w:r>
          </w:p>
        </w:tc>
        <w:tc>
          <w:tcPr>
            <w:tcW w:w="3544" w:type="dxa"/>
            <w:vAlign w:val="center"/>
          </w:tcPr>
          <w:p>
            <w:pPr>
              <w:spacing w:line="460" w:lineRule="exact"/>
              <w:jc w:val="left"/>
              <w:rPr>
                <w:rFonts w:ascii="仿宋_GB2312" w:hAnsi="仿宋" w:eastAsia="仿宋_GB2312"/>
                <w:sz w:val="32"/>
                <w:szCs w:val="32"/>
              </w:rPr>
            </w:pPr>
            <w:r>
              <w:rPr>
                <w:rFonts w:hint="eastAsia" w:ascii="仿宋_GB2312" w:hAnsi="仿宋" w:eastAsia="仿宋_GB2312"/>
                <w:sz w:val="32"/>
                <w:szCs w:val="32"/>
              </w:rPr>
              <w:t>按照《交通运输部关于印发水运“十三五”发展规划的通知》（交规划发〔2016</w:t>
            </w:r>
            <w:r>
              <w:rPr>
                <w:rFonts w:ascii="仿宋_GB2312" w:hAnsi="仿宋" w:eastAsia="仿宋_GB2312"/>
                <w:sz w:val="32"/>
                <w:szCs w:val="32"/>
              </w:rPr>
              <w:t>〕</w:t>
            </w:r>
            <w:r>
              <w:rPr>
                <w:rFonts w:hint="eastAsia" w:ascii="仿宋_GB2312" w:hAnsi="仿宋" w:eastAsia="仿宋_GB2312"/>
                <w:sz w:val="32"/>
                <w:szCs w:val="32"/>
              </w:rPr>
              <w:t>93号）和参照《浙江省交通运输厅 浙江财政厅关于印发浙江省提升渡运及陆岛交通公共服务均等化实施方案的通知》（浙交〔2013</w:t>
            </w:r>
            <w:r>
              <w:rPr>
                <w:rFonts w:ascii="仿宋_GB2312" w:hAnsi="仿宋" w:eastAsia="仿宋_GB2312"/>
                <w:sz w:val="32"/>
                <w:szCs w:val="32"/>
              </w:rPr>
              <w:t>〕</w:t>
            </w:r>
            <w:r>
              <w:rPr>
                <w:rFonts w:hint="eastAsia" w:ascii="仿宋_GB2312" w:hAnsi="仿宋" w:eastAsia="仿宋_GB2312"/>
                <w:sz w:val="32"/>
                <w:szCs w:val="32"/>
              </w:rPr>
              <w:t>86号）执行。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60" w:lineRule="exact"/>
              <w:jc w:val="center"/>
              <w:rPr>
                <w:rFonts w:ascii="仿宋_GB2312" w:hAnsi="仿宋" w:eastAsia="仿宋_GB2312"/>
                <w:sz w:val="32"/>
                <w:szCs w:val="32"/>
              </w:rPr>
            </w:pPr>
            <w:r>
              <w:rPr>
                <w:rFonts w:hint="eastAsia" w:ascii="仿宋_GB2312" w:hAnsi="仿宋" w:eastAsia="仿宋_GB2312"/>
                <w:sz w:val="32"/>
                <w:szCs w:val="32"/>
              </w:rPr>
              <w:t>沿海渡船更新</w:t>
            </w:r>
          </w:p>
        </w:tc>
        <w:tc>
          <w:tcPr>
            <w:tcW w:w="3827" w:type="dxa"/>
            <w:vAlign w:val="center"/>
          </w:tcPr>
          <w:p>
            <w:pPr>
              <w:spacing w:line="460" w:lineRule="exact"/>
              <w:jc w:val="left"/>
              <w:rPr>
                <w:rFonts w:ascii="仿宋_GB2312" w:hAnsi="仿宋" w:eastAsia="仿宋_GB2312"/>
                <w:sz w:val="32"/>
                <w:szCs w:val="32"/>
              </w:rPr>
            </w:pPr>
            <w:r>
              <w:rPr>
                <w:rFonts w:hint="eastAsia" w:ascii="仿宋_GB2312" w:hAnsi="仿宋" w:eastAsia="仿宋_GB2312"/>
                <w:sz w:val="32"/>
                <w:szCs w:val="32"/>
              </w:rPr>
              <w:t>按照渡船标准建造价格35%进行补助；若渡船实际购造价格低于标准建造价格的，则按船舶实际购造价格的35%给予补助。</w:t>
            </w:r>
          </w:p>
        </w:tc>
        <w:tc>
          <w:tcPr>
            <w:tcW w:w="3544" w:type="dxa"/>
            <w:vMerge w:val="restart"/>
            <w:vAlign w:val="center"/>
          </w:tcPr>
          <w:p>
            <w:pPr>
              <w:spacing w:line="460" w:lineRule="exact"/>
              <w:jc w:val="left"/>
              <w:rPr>
                <w:rFonts w:ascii="仿宋_GB2312" w:hAnsi="黑体" w:eastAsia="仿宋_GB2312"/>
                <w:sz w:val="32"/>
                <w:szCs w:val="32"/>
              </w:rPr>
            </w:pPr>
            <w:r>
              <w:rPr>
                <w:rFonts w:hint="eastAsia" w:ascii="仿宋_GB2312" w:eastAsia="仿宋_GB2312"/>
                <w:sz w:val="32"/>
                <w:szCs w:val="32"/>
              </w:rPr>
              <w:t>参照《浙江省交通运输厅 浙江财政厅关于印发浙江省提升渡运及陆岛交通公共服务均等化实施方案的通知》（浙交〔2013</w:t>
            </w:r>
            <w:r>
              <w:rPr>
                <w:rFonts w:ascii="仿宋_GB2312" w:eastAsia="仿宋_GB2312"/>
                <w:sz w:val="32"/>
                <w:szCs w:val="32"/>
              </w:rPr>
              <w:t>〕</w:t>
            </w:r>
            <w:r>
              <w:rPr>
                <w:rFonts w:hint="eastAsia" w:ascii="仿宋_GB2312" w:eastAsia="仿宋_GB2312"/>
                <w:sz w:val="32"/>
                <w:szCs w:val="32"/>
              </w:rPr>
              <w:t>86号）执行。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60" w:lineRule="exact"/>
              <w:jc w:val="center"/>
              <w:rPr>
                <w:rFonts w:ascii="仿宋_GB2312" w:hAnsi="仿宋" w:eastAsia="仿宋_GB2312"/>
                <w:sz w:val="32"/>
                <w:szCs w:val="32"/>
              </w:rPr>
            </w:pPr>
            <w:r>
              <w:rPr>
                <w:rFonts w:hint="eastAsia" w:ascii="仿宋_GB2312" w:hAnsi="仿宋" w:eastAsia="仿宋_GB2312"/>
                <w:sz w:val="32"/>
                <w:szCs w:val="32"/>
              </w:rPr>
              <w:t>内河渡船更新</w:t>
            </w:r>
          </w:p>
        </w:tc>
        <w:tc>
          <w:tcPr>
            <w:tcW w:w="3827" w:type="dxa"/>
            <w:vAlign w:val="center"/>
          </w:tcPr>
          <w:p>
            <w:pPr>
              <w:spacing w:line="460" w:lineRule="exact"/>
              <w:jc w:val="left"/>
              <w:rPr>
                <w:rFonts w:ascii="仿宋_GB2312" w:hAnsi="仿宋" w:eastAsia="仿宋_GB2312"/>
                <w:sz w:val="32"/>
                <w:szCs w:val="32"/>
              </w:rPr>
            </w:pPr>
            <w:r>
              <w:rPr>
                <w:rFonts w:hint="eastAsia" w:ascii="仿宋_GB2312" w:hAnsi="仿宋" w:eastAsia="仿宋_GB2312"/>
                <w:sz w:val="32"/>
                <w:szCs w:val="32"/>
              </w:rPr>
              <w:t>按照渡船标准建造价格的50%进行补助；若渡船实际购造价格低于标准建造价格的，则按船舶实际购造价格的50%给予补助。</w:t>
            </w:r>
          </w:p>
        </w:tc>
        <w:tc>
          <w:tcPr>
            <w:tcW w:w="3544" w:type="dxa"/>
            <w:vMerge w:val="continue"/>
            <w:vAlign w:val="center"/>
          </w:tcPr>
          <w:p>
            <w:pPr>
              <w:spacing w:line="46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60" w:lineRule="exact"/>
              <w:jc w:val="center"/>
              <w:rPr>
                <w:rFonts w:ascii="仿宋_GB2312" w:hAnsi="仿宋" w:eastAsia="仿宋_GB2312"/>
                <w:sz w:val="32"/>
                <w:szCs w:val="32"/>
              </w:rPr>
            </w:pPr>
            <w:r>
              <w:rPr>
                <w:rFonts w:hint="eastAsia" w:ascii="仿宋_GB2312" w:hAnsi="仿宋" w:eastAsia="仿宋_GB2312"/>
                <w:sz w:val="32"/>
                <w:szCs w:val="32"/>
              </w:rPr>
              <w:t>内河渡埠改造</w:t>
            </w:r>
          </w:p>
        </w:tc>
        <w:tc>
          <w:tcPr>
            <w:tcW w:w="3827" w:type="dxa"/>
            <w:vAlign w:val="center"/>
          </w:tcPr>
          <w:p>
            <w:pPr>
              <w:spacing w:line="460" w:lineRule="exact"/>
              <w:jc w:val="left"/>
              <w:rPr>
                <w:rFonts w:ascii="仿宋_GB2312" w:hAnsi="仿宋" w:eastAsia="仿宋_GB2312"/>
                <w:sz w:val="32"/>
                <w:szCs w:val="32"/>
              </w:rPr>
            </w:pPr>
            <w:r>
              <w:rPr>
                <w:rFonts w:hint="eastAsia" w:ascii="仿宋_GB2312" w:hAnsi="仿宋" w:eastAsia="仿宋_GB2312"/>
                <w:sz w:val="32"/>
                <w:szCs w:val="32"/>
              </w:rPr>
              <w:t>按照工程费用的50%进行补助，单项工程补助最高20万元。候渡亭建设项目每个补助4万元。</w:t>
            </w:r>
          </w:p>
        </w:tc>
        <w:tc>
          <w:tcPr>
            <w:tcW w:w="3544" w:type="dxa"/>
            <w:vMerge w:val="continue"/>
            <w:vAlign w:val="center"/>
          </w:tcPr>
          <w:p>
            <w:pPr>
              <w:spacing w:line="460" w:lineRule="exact"/>
              <w:jc w:val="center"/>
              <w:rPr>
                <w:rFonts w:ascii="仿宋_GB2312" w:hAnsi="黑体" w:eastAsia="仿宋_GB2312"/>
                <w:sz w:val="32"/>
                <w:szCs w:val="32"/>
              </w:rPr>
            </w:pPr>
          </w:p>
        </w:tc>
      </w:tr>
    </w:tbl>
    <w:p>
      <w:pPr>
        <w:spacing w:beforeLines="50" w:afterLines="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21825"/>
    <w:rsid w:val="2CC50B38"/>
    <w:rsid w:val="2E6428A9"/>
    <w:rsid w:val="5F021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2020-11-20T06:53:00Z</dcterms:created>
  <dc:creator>pc</dc:creator>
  <cp:lastModifiedBy>pc</cp:lastModifiedBy>
  <dcterms:modified xsi:type="dcterms:W3CDTF">2020-11-20T06:54:29Z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