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94"/>
        <w:gridCol w:w="1185"/>
        <w:gridCol w:w="121"/>
        <w:gridCol w:w="1093"/>
        <w:gridCol w:w="1224"/>
        <w:gridCol w:w="1118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6"/>
              </w:rPr>
              <w:t>附件3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36"/>
              </w:rPr>
              <w:t>宁波市农村联网公路建设补助标准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单位：万元/公里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表二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9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14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新建</w:t>
            </w:r>
          </w:p>
        </w:tc>
        <w:tc>
          <w:tcPr>
            <w:tcW w:w="7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中型及以上桥梁（元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平米）</w:t>
            </w:r>
          </w:p>
        </w:tc>
        <w:tc>
          <w:tcPr>
            <w:tcW w:w="65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隧道（元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平米）</w:t>
            </w:r>
          </w:p>
        </w:tc>
        <w:tc>
          <w:tcPr>
            <w:tcW w:w="8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9" w:type="pct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水泥路面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沥青路面</w:t>
            </w:r>
          </w:p>
        </w:tc>
        <w:tc>
          <w:tcPr>
            <w:tcW w:w="7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新建</w:t>
            </w:r>
          </w:p>
        </w:tc>
        <w:tc>
          <w:tcPr>
            <w:tcW w:w="8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海岛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846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欠发达乡镇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以市委市政府最新文件为准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南三县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其他县市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注：中型及以上桥梁是指单跨20米（含20米）、总长30米（含30米）以上桥梁。桥梁宽度大于四级公路最大值的，面积按照四级公路宽度最大值计算补助；宽度小于四级公路最大值的，面积按照实际计算。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233FA"/>
    <w:rsid w:val="102233FA"/>
    <w:rsid w:val="278B0C64"/>
    <w:rsid w:val="78E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2020-11-23T03:11:00Z</dcterms:created>
  <dc:creator>pc</dc:creator>
  <cp:lastModifiedBy>pc</cp:lastModifiedBy>
  <dcterms:modified xsi:type="dcterms:W3CDTF">2020-11-23T03:12:35Z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