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  <w:t>宁波市人民政府质量创新奖评审标准</w:t>
      </w:r>
    </w:p>
    <w:tbl>
      <w:tblPr>
        <w:tblStyle w:val="6"/>
        <w:tblW w:w="14548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729"/>
        <w:gridCol w:w="3234"/>
        <w:gridCol w:w="6575"/>
        <w:gridCol w:w="105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评审项目</w:t>
            </w:r>
          </w:p>
        </w:tc>
        <w:tc>
          <w:tcPr>
            <w:tcW w:w="32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评审要点</w:t>
            </w:r>
          </w:p>
        </w:tc>
        <w:tc>
          <w:tcPr>
            <w:tcW w:w="65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评分标准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分值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创新机制</w:t>
            </w:r>
          </w:p>
        </w:tc>
        <w:tc>
          <w:tcPr>
            <w:tcW w:w="3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工作机制建设：企业建立质量创新机构情况，质量战略、品牌规划制定实施情况，创新制度的完善程度，创新奖励的实施情况</w:t>
            </w:r>
          </w:p>
        </w:tc>
        <w:tc>
          <w:tcPr>
            <w:tcW w:w="6575" w:type="dxa"/>
            <w:vAlign w:val="center"/>
          </w:tcPr>
          <w:p>
            <w:pPr>
              <w:keepNext w:val="0"/>
              <w:keepLines w:val="0"/>
              <w:numPr>
                <w:ilvl w:val="-1"/>
                <w:numId w:val="0"/>
              </w:numPr>
              <w:spacing w:line="360" w:lineRule="exact"/>
              <w:ind w:firstLine="480" w:firstLineChars="200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企业建有独立的质量创新机构并有效运行，得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2分；仅明确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质量创新职能部门并有效运行的，得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1分。</w:t>
            </w:r>
          </w:p>
          <w:p>
            <w:pPr>
              <w:keepNext w:val="0"/>
              <w:keepLines w:val="0"/>
              <w:numPr>
                <w:ilvl w:val="-1"/>
                <w:numId w:val="0"/>
              </w:numPr>
              <w:spacing w:line="360" w:lineRule="exact"/>
              <w:ind w:firstLine="480" w:firstLineChars="200"/>
              <w:outlineLvl w:val="9"/>
              <w:rPr>
                <w:rFonts w:hint="default" w:ascii="Calibri" w:hAnsi="Calibri" w:eastAsia="宋体" w:cs="Times New Roman"/>
                <w:color w:val="00000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2.企业总体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质量战略明确，并制定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战略计划和具体的项目计划组织实施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/>
                <w:lang w:eastAsia="zh-CN"/>
              </w:rPr>
              <w:t>得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/>
                <w:lang w:val="en-US" w:eastAsia="zh-CN"/>
              </w:rPr>
              <w:t>2分；有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总体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质量战略并推进实施的得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3.企业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auto"/>
              </w:rPr>
              <w:t>品牌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规划完善，并将品牌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auto"/>
              </w:rPr>
              <w:t>建设提升到企业经营战略高度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auto"/>
                <w:lang w:eastAsia="zh-CN"/>
              </w:rPr>
              <w:t>的，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/>
                <w:lang w:eastAsia="zh-CN"/>
              </w:rPr>
              <w:t>得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/>
                <w:lang w:val="en-US" w:eastAsia="zh-CN"/>
              </w:rPr>
              <w:t>2分；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企业有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auto"/>
              </w:rPr>
              <w:t>品牌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规划，并实施品牌推广、维护的，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/>
                <w:lang w:eastAsia="zh-CN"/>
              </w:rPr>
              <w:t>得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/>
                <w:lang w:val="en-US" w:eastAsia="zh-CN"/>
              </w:rPr>
              <w:t>1分。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创新制度完善并有序推进实施的，得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2分；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创新制度较完善，推进实施较好的，得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创新激励政策制定完备，落实到位的，得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按最高分单项计分，不累加。（下同）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管理方法应用：企业导入实施卓越绩效模式，建立运行质量管理体系，实施先进质量管理方法情况</w:t>
            </w:r>
          </w:p>
        </w:tc>
        <w:tc>
          <w:tcPr>
            <w:tcW w:w="6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导入实施卓越绩效模式的得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10分，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通过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ISO9000等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管理体系认证或应用本行业先进质量管理方法的得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8分。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诚信机制建设：企业守信经营情况</w:t>
            </w:r>
          </w:p>
        </w:tc>
        <w:tc>
          <w:tcPr>
            <w:tcW w:w="6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获国家级诚信示范或荣誉的得10分，获省级诚信示范或荣誉的，加8分；获市级诚信示范或荣誉的，加6分。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创新水平</w:t>
            </w:r>
          </w:p>
        </w:tc>
        <w:tc>
          <w:tcPr>
            <w:tcW w:w="3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创新能力水平：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R&amp;D经费</w:t>
            </w: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/>
              </w:rPr>
              <w:t>投入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强度</w:t>
            </w:r>
          </w:p>
        </w:tc>
        <w:tc>
          <w:tcPr>
            <w:tcW w:w="6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投入强度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的得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10分，1%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≤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投入强度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的得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8分，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投入强度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的得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6分。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标准研制水平：创新成果转化为标准情况（制造业以外企业不作要求）</w:t>
            </w:r>
          </w:p>
        </w:tc>
        <w:tc>
          <w:tcPr>
            <w:tcW w:w="6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创新成果转化为国家标准的得10分，转化为行业标准的得8分，转化为省地方标准或“浙江制造”团体标准的得7分。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专利创造水平：创新成果转化为专利情况（制造业以外企业不作要求）</w:t>
            </w:r>
          </w:p>
        </w:tc>
        <w:tc>
          <w:tcPr>
            <w:tcW w:w="6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获中国专利金奖、国家知识产权示范企业的得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2.获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中国专利银奖、国家知识产权优势企业的得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7分；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3.获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中国专利优秀奖、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专利金奖、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专利示范企业、市专利金奖的得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5分。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成果推广水平：获上级部门或领导肯定，在行业、区域内推广情况（含建筑工法、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非物质文化遗产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、科研课题鉴定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6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先进经验做法获上级部门或领导批示肯定、发文推广或召开现场会的，国家级得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10分，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省级得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7分，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市级得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5分。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创新绩效</w:t>
            </w:r>
          </w:p>
        </w:tc>
        <w:tc>
          <w:tcPr>
            <w:tcW w:w="3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企业经营绩效：企业行业地位和经营绩效</w:t>
            </w:r>
          </w:p>
        </w:tc>
        <w:tc>
          <w:tcPr>
            <w:tcW w:w="6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制造业：国家级单项冠军示范企业得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10分、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单项冠军产品企业得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分、培育企业得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8分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；省隐形冠军企业得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8分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、培育企业得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6分；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市级制造业单项冠军示范企业得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6分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、市级培育企业得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其他行业获国家级试点示范的得10分、培育的得9分；省级试点示范的得9分、培育的得8分；市级试点示范的得8分、培育的得6分。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创新成果荣誉：创新成果获各级奖项情况</w:t>
            </w:r>
          </w:p>
        </w:tc>
        <w:tc>
          <w:tcPr>
            <w:tcW w:w="6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获得国家级奖项的得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10分，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获得省级奖项的得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8分，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获得市级奖项的得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6分。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创新成果共享：发挥行业或区域引领带动作用情况</w:t>
            </w:r>
          </w:p>
        </w:tc>
        <w:tc>
          <w:tcPr>
            <w:tcW w:w="6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承担省、市孵化任务并孵化成功的得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10分；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组织行业或区域企业经验分享（论坛、培训、讲座、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QQ群、微信群等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），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10家以上得8分，5家以上得6分，3家以上得3分。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ind w:firstLine="24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ind w:firstLine="24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加分项目</w:t>
            </w:r>
          </w:p>
        </w:tc>
        <w:tc>
          <w:tcPr>
            <w:tcW w:w="3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1.企业建有院士工作站的，加5分；建有国家级实验室或国家企业技术中心的，加5分；建有博士后工作站或省级企业技术中心的，加3分。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2.企业管理团队中有省级以上重点人才计划专家的，加5分；有国务院政府特殊津贴专家的，加3分。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3.创新成果被国际组织认定为国际首创的，加5分；创新成果转化为国际标准的，加5分。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4.获“中国驰名商标”（行政认定）或“中国商标金奖”的，加5分。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5.区县（市）政府质量奖企业加3分； “品字标”企业加3分。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6.通过测量管理体系认证的，加3分。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累计加分不超过20分。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ind w:firstLine="24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94" w:lineRule="exact"/>
              <w:ind w:firstLine="24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12EEC"/>
    <w:rsid w:val="55E12EEC"/>
    <w:rsid w:val="74E2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2020-08-20T01:16:00Z</dcterms:created>
  <dc:creator>易俊</dc:creator>
  <cp:lastModifiedBy>易俊</cp:lastModifiedBy>
  <dcterms:modified xsi:type="dcterms:W3CDTF">2020-08-20T01:17:43Z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