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60" w:line="586" w:lineRule="exact"/>
        <w:ind w:left="0" w:right="0" w:firstLine="0"/>
        <w:jc w:val="center"/>
      </w:pPr>
      <w:bookmarkStart w:id="0" w:name="bookmark15"/>
      <w:bookmarkStart w:id="1" w:name="bookmark16"/>
      <w:bookmarkStart w:id="2" w:name="bookmark14"/>
      <w:r>
        <w:rPr>
          <w:color w:val="000000"/>
          <w:spacing w:val="0"/>
          <w:w w:val="100"/>
          <w:position w:val="0"/>
        </w:rPr>
        <w:t>宁波市人民政府办公厅关于做好当前跨境物流缺舱缺箱问题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应对工作的若干意见责任分解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6"/>
        <w:gridCol w:w="864"/>
        <w:gridCol w:w="5731"/>
        <w:gridCol w:w="1666"/>
        <w:gridCol w:w="1670"/>
        <w:gridCol w:w="21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具体事项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牵头领导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责任单位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配合单位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一、增加航线 运力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鼓励、引导船公司定向增加宁波口岸航线、运力供给，增开航 线航班，增加加班船挂靠，减少跳港、跳班，加快船舶周转效 率，从供给端缓解运力和舱位紧张问题，重点保障美东、美西、 欧洲地中海等重点航线的运力供给。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陈仲朝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推进新增码头泊位等口岸对外开放，增加与宁波舟山港航线运 力相匹配的码头作业能力和效率。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李关定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市口岸办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宁波海关、宁波海事 局、浙江边检总站宁 波指挥部、宁波舟山 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二、保障空箱 供给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鼓励、引导船公司做好空箱回流工作，临时调配内支线和海铁 联运的空箱以缓解出口需求。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关注进出口货物流量流向，加大对进口贸易的支持力度，进一 步培育进口市场，增加进口重箱数量。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李关定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市商务局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加强阶段性集装箱空箱保供，统筹解决集装箱制造企业所需能 源和钢材等问题，鼓励引导宁波本地集装箱生产企业加大产能。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陈炳荣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市经信局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市服务业局、市能源 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三、稳定运价 箱价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关注船公司运价调整情况，必要时请国家有关部委约谈船公司, 规范收费行为，延长运价备案时间。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市市场监管局、宁波 舟山港集团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引导船公司提高放舱数量与实际可用集装箱空箱数量匹配度。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陈仲朝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发挥相关行业协会自律作用,规范协会会员企业收费行为。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市商务局、市口岸办、 各跨境物流相关行业 协会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6"/>
        <w:gridCol w:w="864"/>
        <w:gridCol w:w="5731"/>
        <w:gridCol w:w="1666"/>
        <w:gridCol w:w="1670"/>
        <w:gridCol w:w="21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四、加快集装 箱周转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继续深化空箱监管无纸化改革，创新监管模式，加快空箱查验 效率，适当降低查验比例，实施阶段性空箱放行应急措施。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李关定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宁波海关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推进空箱船边直卸、集卡直提等作业模式。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李关定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市口岸办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宁波海关、宁波海事 局、浙江边检总站宁 波指挥部、宁波舟山 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对进口空箱船舶（单航次进口空箱量超过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  <w:r>
              <w:rPr>
                <w:color w:val="000000"/>
                <w:spacing w:val="0"/>
                <w:w w:val="100"/>
                <w:position w:val="0"/>
              </w:rPr>
              <w:t>标准箱且卸船空 箱比例达到整船卸货箱量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70%</w:t>
            </w:r>
            <w:r>
              <w:rPr>
                <w:color w:val="000000"/>
                <w:spacing w:val="0"/>
                <w:w w:val="100"/>
                <w:position w:val="0"/>
              </w:rPr>
              <w:t>以上的船舶）给予优先靠泊和优先 选择作业码头，在港区作业效率上给予倾斜。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陈仲朝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提升重箱作业效率，压缩重箱转空箱时间。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陈仲朝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五、落实港口 降费政策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实施进口空箱加班船舶在宁波舟山港宁波港域作业时的进港拖 轮费用、引航费用减免优惠政策。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陈仲朝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对符合条件的外贸船公司进口空箱延长免堆期。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陈仲朝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给予符合条件的外贸本地进口空箱装卸费优惠。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陈仲朝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六、提升市场 透明度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利用中国（宁波）国际贸易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“单</w:t>
            </w:r>
            <w:r>
              <w:rPr>
                <w:color w:val="000000"/>
                <w:spacing w:val="0"/>
                <w:w w:val="100"/>
                <w:position w:val="0"/>
              </w:rPr>
              <w:t>一窗口”、宁波舟山港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“易</w:t>
            </w:r>
            <w:r>
              <w:rPr>
                <w:color w:val="000000"/>
                <w:spacing w:val="0"/>
                <w:w w:val="100"/>
                <w:position w:val="0"/>
              </w:rPr>
              <w:t>港通” 等信息化平台，及时对外公布集装箱供需、调度及提还箱信息， 提高集装箱周转运行信息透明度。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李关定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市口岸办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鼓励、引导船公司、船代、堆场等企业公开舱位、箱量使用和 堆场周转情况，提高集装箱周转运行信息透明度。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宁波舟山港集团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鼓励专业机构利用大数据监测国际供应链变化，提前预警应对， 提升市场预判能力。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李关定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市商务局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市口岸办、宁波舟山 港集团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加强宣传引导，稳定市场预期，营造良好氛围。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市委宣传部、市口岸办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七、开展专项 整治行动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开展跨境物流收费专项整治行动，重点整治跨境物流各环节的 乱收费、哄抬价格等违法行为，维护市场秩序。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市市场监管局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市公安局、市交通局、 市口岸办、市商务局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八、加大金融 支持力度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引导银行业金融机构在遵循市场化、法治化的原则上，加大对 船代、货代等跨境物流企业的资金支持，扩大信贷投放，降低 融资成本，提升金融服务质效，帮助有发展前景但暂时受困的 企业渡过难关。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李关定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市地方金融监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</w:rPr>
              <w:t>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银行业金融机构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6"/>
        <w:gridCol w:w="864"/>
        <w:gridCol w:w="5731"/>
        <w:gridCol w:w="1666"/>
        <w:gridCol w:w="1670"/>
        <w:gridCol w:w="21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九、做好稳岗 留工工作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属地政府、行业主管部门、行业协会、集卡企业主动做好今年 春节期间集卡司机稳岗留工工作，保障我市跨境物流顺畅。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北仑区政府、宁波舟 山港集团、各跨境物 流相关行业协会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十、加强工作 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成立工作专班，强化统筹协调，细化专项政策。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市经信局、市财政局、 市商务局、市市场监 管局、市地方金融监 管局、市口岸办、市 服务业局、市能源局、 宁波海关、宁波海事 局、浙江边检总站宁 波指挥部、北仑区政 府、宁波舟山港集团、 各跨境物流相关行业 协会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市级财政安排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4000</w:t>
            </w:r>
            <w:r>
              <w:rPr>
                <w:color w:val="000000"/>
                <w:spacing w:val="0"/>
                <w:w w:val="100"/>
                <w:position w:val="0"/>
              </w:rPr>
              <w:t>万元专项资金用于今年第一季度调运力、增 空箱工作（具体补助细则另行制订）。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市交通局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市财政局、宁波舟山 港集团</w:t>
            </w:r>
          </w:p>
        </w:tc>
      </w:tr>
    </w:tbl>
    <w:p>
      <w:bookmarkStart w:id="3" w:name="_GoBack"/>
      <w:bookmarkEnd w:id="3"/>
    </w:p>
    <w:sectPr>
      <w:pgSz w:w="16838" w:h="11906" w:orient="landscape"/>
      <w:pgMar w:top="1463" w:right="646" w:bottom="782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672F5"/>
    <w:rsid w:val="0A0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330" w:line="593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2021-01-11T07:07:00Z</dcterms:created>
  <dc:creator>刘明辉（奚妈）</dc:creator>
  <cp:lastModifiedBy>刘明辉（奚妈）</cp:lastModifiedBy>
  <dcterms:modified xsi:type="dcterms:W3CDTF">2021-01-11T07:08:29Z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