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53" w:leftChars="7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园内制造业企业年应税销售总额汇总表</w:t>
      </w:r>
    </w:p>
    <w:bookmarkEnd w:id="0"/>
    <w:p>
      <w:pPr>
        <w:spacing w:after="48" w:afterLines="20" w:line="5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园区盖章：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95"/>
        <w:gridCol w:w="1785"/>
        <w:gridCol w:w="172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2019年应税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销售额（万元）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2020年应税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销售额（万元）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增幅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  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7349"/>
    <w:rsid w:val="1CF57349"/>
    <w:rsid w:val="6FD54F9E"/>
    <w:rsid w:val="755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2021-01-28T03:32:00Z</dcterms:created>
  <dc:creator>pc</dc:creator>
  <cp:lastModifiedBy>GFF</cp:lastModifiedBy>
  <dcterms:modified xsi:type="dcterms:W3CDTF">2021-01-28T03:33:49Z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