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580" w:lineRule="exact"/>
        <w:ind w:left="-307" w:leftChars="-14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after="120" w:afterLines="50" w:line="580" w:lineRule="exact"/>
        <w:jc w:val="center"/>
        <w:rPr>
          <w:rFonts w:ascii="创艺简标宋" w:eastAsia="创艺简标宋"/>
          <w:sz w:val="40"/>
          <w:szCs w:val="40"/>
        </w:rPr>
      </w:pPr>
      <w:bookmarkStart w:id="0" w:name="_GoBack"/>
      <w:r>
        <w:rPr>
          <w:rFonts w:hint="eastAsia" w:ascii="创艺简标宋" w:eastAsia="创艺简标宋"/>
          <w:sz w:val="40"/>
          <w:szCs w:val="40"/>
        </w:rPr>
        <w:t>行业改造提升试点清单</w:t>
      </w:r>
    </w:p>
    <w:bookmarkEnd w:id="0"/>
    <w:tbl>
      <w:tblPr>
        <w:tblStyle w:val="2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544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重点传统制造业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重点试点地区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石油加工及化学原料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镇海、北仑、大榭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汽车及零部件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杭州湾、北仑、鄞州、象山、宁海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电气机械和器材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余姚、慈溪、杭州湾、鄞州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纺织服装服饰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象山、余姚、海曙、北仑、奉化、鄞州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有色和黑色金属冶炼及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压延加工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江北、鄞州、北仑、奉化、象山、宁海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文教用品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宁海、北仑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橡胶及塑料制品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慈溪、余姚、象山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农副食品加工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象山、慈溪、余姚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化学纤维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慈溪、余姚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非金属矿物制品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余姚、宁海、象山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金属制品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余姚、奉化、宁海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造纸及纸制品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0280F"/>
    <w:rsid w:val="39A0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2021-02-02T03:27:00Z</dcterms:created>
  <dc:creator>pc</dc:creator>
  <cp:lastModifiedBy>pc</cp:lastModifiedBy>
  <dcterms:modified xsi:type="dcterms:W3CDTF">2021-02-02T03:27:48Z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