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90" w:lineRule="atLeast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附件2</w:t>
      </w:r>
    </w:p>
    <w:p>
      <w:pPr>
        <w:pStyle w:val="2"/>
        <w:widowControl/>
        <w:spacing w:before="150" w:beforeAutospacing="0" w:after="150" w:afterAutospacing="0" w:line="39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象山县企业“科创飞地”年度考评细则</w:t>
      </w:r>
    </w:p>
    <w:tbl>
      <w:tblPr>
        <w:tblStyle w:val="3"/>
        <w:tblW w:w="82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1028"/>
        <w:gridCol w:w="52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_GB2312" w:hAnsi="微软雅黑" w:eastAsia="仿宋_GB2312" w:cs="仿宋_GB2312"/>
                <w:color w:val="333333"/>
                <w:sz w:val="21"/>
                <w:szCs w:val="21"/>
              </w:rPr>
              <w:t>具体内容</w:t>
            </w:r>
          </w:p>
        </w:tc>
        <w:tc>
          <w:tcPr>
            <w:tcW w:w="10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color w:val="333333"/>
                <w:sz w:val="21"/>
                <w:szCs w:val="21"/>
              </w:rPr>
              <w:t>分值</w:t>
            </w:r>
          </w:p>
        </w:tc>
        <w:tc>
          <w:tcPr>
            <w:tcW w:w="5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color w:val="333333"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研究开发经费投入及增幅（单位：%）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40</w:t>
            </w:r>
          </w:p>
        </w:tc>
        <w:tc>
          <w:tcPr>
            <w:tcW w:w="5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当年度，异地孵化企业研发投入占运营总投入20%以上得30分，每降低1个百分点扣5分，每增加0.5个百分点加5分；研发中心依托企业研发经费投入增幅达10% 得30分，每降低1个百分点扣5分，每增加0.5个百分点加5分。本项最高得分40分。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1" w:hRule="atLeast"/>
          <w:jc w:val="center"/>
        </w:trPr>
        <w:tc>
          <w:tcPr>
            <w:tcW w:w="1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rFonts w:hint="eastAsia" w:eastAsia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人才引进培育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85" w:lineRule="atLeast"/>
              <w:jc w:val="center"/>
              <w:rPr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30</w:t>
            </w:r>
          </w:p>
        </w:tc>
        <w:tc>
          <w:tcPr>
            <w:tcW w:w="5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每拥有1名硕士研究生得5分，每拥有1名博士研究生得10分。象山企业支付薪酬所产生的个税全额入库象山的得10分，本项最高得分30分。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rFonts w:hint="eastAsia" w:eastAsia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科技/人才项目申报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85" w:lineRule="atLeast"/>
              <w:jc w:val="center"/>
              <w:rPr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20</w:t>
            </w:r>
          </w:p>
        </w:tc>
        <w:tc>
          <w:tcPr>
            <w:tcW w:w="5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当年度，异地孵化企业或研发中心依托企业每获一个省级及以上科技/人才项目立项得20分，每获一个市级科技/人才项目立项得15分，每获一个县级科技/人才项目立项得10分。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1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知识产权</w:t>
            </w:r>
          </w:p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rFonts w:hint="eastAsia" w:eastAsia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申请授权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85" w:lineRule="atLeast"/>
              <w:jc w:val="center"/>
              <w:rPr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10</w:t>
            </w:r>
          </w:p>
        </w:tc>
        <w:tc>
          <w:tcPr>
            <w:tcW w:w="5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当年度，飞地企业每申请1项发明专利得2分；每授权1项发明专利得5分，每授权1项实用新型得2分。本项最高得分10分。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 w:hRule="atLeast"/>
          <w:jc w:val="center"/>
        </w:trPr>
        <w:tc>
          <w:tcPr>
            <w:tcW w:w="1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加分项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获国家科学技术奖励加20分，获省科技进步奖励加15分，获市科技进步奖励加10分；研发成果在象山实现产业化或转化应</w:t>
            </w:r>
            <w:r>
              <w:rPr>
                <w:rFonts w:hint="eastAsia" w:ascii="仿宋_GB2312" w:hAnsi="微软雅黑" w:eastAsia="仿宋_GB2312" w:cs="仿宋_GB2312"/>
              </w:rPr>
              <w:t>用并产生市场效益的加30</w:t>
            </w:r>
            <w:r>
              <w:rPr>
                <w:rFonts w:hint="eastAsia" w:ascii="仿宋_GB2312" w:hAnsi="微软雅黑" w:eastAsia="仿宋_GB2312" w:cs="仿宋_GB2312"/>
                <w:color w:val="333333"/>
              </w:rPr>
              <w:t>分。</w:t>
            </w:r>
          </w:p>
        </w:tc>
      </w:tr>
    </w:tbl>
    <w:p>
      <w:pPr>
        <w:pStyle w:val="2"/>
        <w:widowControl/>
        <w:spacing w:before="150" w:beforeAutospacing="0" w:after="150" w:afterAutospacing="0" w:line="390" w:lineRule="atLeas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454545"/>
        </w:rPr>
        <w:t>注：考核得分90分（含）以上的为优秀，75分（含）-90分为良好，60分（含）-75分为合格，60以下为不合格。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D2CB6"/>
    <w:rsid w:val="076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2021-04-06T02:16:00Z</dcterms:created>
  <dc:creator>Administrator</dc:creator>
  <cp:lastModifiedBy>Administrator</cp:lastModifiedBy>
  <dcterms:modified xsi:type="dcterms:W3CDTF">2021-04-06T02:17:07Z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CFE2BDF006984D4886225411CE30DF1B</vt:lpwstr>
  </property>
</Properties>
</file>