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color w:val="000000"/>
          <w:sz w:val="32"/>
          <w:szCs w:val="32"/>
        </w:rPr>
        <w:t>件4</w:t>
      </w:r>
    </w:p>
    <w:p>
      <w:pPr>
        <w:spacing w:line="580" w:lineRule="exact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hAnsi="Times New Roman" w:eastAsia="创艺简标宋"/>
          <w:sz w:val="44"/>
          <w:szCs w:val="44"/>
        </w:rPr>
      </w:pPr>
      <w:r>
        <w:rPr>
          <w:rFonts w:hint="eastAsia" w:ascii="创艺简标宋" w:hAnsi="华文中宋" w:eastAsia="创艺简标宋" w:cs="华文中宋"/>
          <w:bCs/>
          <w:sz w:val="44"/>
          <w:szCs w:val="44"/>
        </w:rPr>
        <w:t>投资确认原则</w:t>
      </w:r>
    </w:p>
    <w:p>
      <w:pPr>
        <w:spacing w:line="58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80" w:lineRule="exact"/>
        <w:ind w:firstLine="56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一、外购项目设备、技术、软件投入金额确认原则</w:t>
      </w:r>
    </w:p>
    <w:p>
      <w:pPr>
        <w:spacing w:line="580" w:lineRule="exact"/>
        <w:ind w:firstLine="567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1.设备已到厂或软件、技术已应用，且发票开具时间在2020年1月1日-2021年4月30日，其中截至2021年4月30日实际已付款60%（含）以上的按全额作为可补助投资额确认，不足60%的按实际付款额作为可补助投资额确认。</w:t>
      </w:r>
    </w:p>
    <w:p>
      <w:pPr>
        <w:spacing w:line="580" w:lineRule="exact"/>
        <w:ind w:firstLine="567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2.投资额计算均不包括可抵扣增值税金额,其中：进口设备不含关税、进口增值税等税额和运输、安装等费用以及滞纳金、罚款等，汇率以企业入账汇率确定。</w:t>
      </w:r>
    </w:p>
    <w:p>
      <w:pPr>
        <w:spacing w:line="580" w:lineRule="exact"/>
        <w:ind w:firstLine="567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3.设备投入须计入固定资产（或在建工程）科目，技术、软件投入须计入无形资产科目。</w:t>
      </w:r>
    </w:p>
    <w:p>
      <w:pPr>
        <w:spacing w:line="580" w:lineRule="exact"/>
        <w:ind w:firstLine="567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二、其他固定资产投入金额确认原则</w:t>
      </w:r>
    </w:p>
    <w:p>
      <w:pPr>
        <w:spacing w:line="580" w:lineRule="exact"/>
        <w:ind w:firstLine="567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发票开具时间在2020年1月1日-2021年4月30日，且以截至2021年4月30日实际已支付金额计算确认，并计入固定资产（或在建工程）科目。</w:t>
      </w:r>
    </w:p>
    <w:p>
      <w:pPr>
        <w:spacing w:line="48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1020" w:gutter="0"/>
      <w:cols w:space="720" w:num="1"/>
      <w:docGrid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4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00C7B"/>
    <w:rsid w:val="1D547211"/>
    <w:rsid w:val="2EE27DEE"/>
    <w:rsid w:val="47C00C7B"/>
    <w:rsid w:val="526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小蛋糕好吃么</dc:creator>
  <cp:lastModifiedBy>小蛋糕好吃么</cp:lastModifiedBy>
  <dcterms:modified xsi:type="dcterms:W3CDTF">2021-05-14T01:48:45Z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34EAC268A1AE46A7BA67BD2B5CDF9E63</vt:lpwstr>
  </property>
</Properties>
</file>