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b/>
          <w:bCs/>
          <w:sz w:val="32"/>
          <w:szCs w:val="32"/>
        </w:rPr>
        <w:t>宁波市交通运输局</w:t>
      </w:r>
      <w:r>
        <w:rPr>
          <w:rFonts w:hint="eastAsia"/>
          <w:b/>
          <w:bCs/>
          <w:sz w:val="32"/>
          <w:szCs w:val="32"/>
          <w:lang w:val="en-US" w:eastAsia="zh-CN"/>
        </w:rPr>
        <w:t xml:space="preserve">  </w:t>
      </w:r>
      <w:r>
        <w:rPr>
          <w:rFonts w:hint="eastAsia"/>
          <w:b/>
          <w:bCs/>
          <w:sz w:val="32"/>
          <w:szCs w:val="32"/>
        </w:rPr>
        <w:t>宁波市财政局</w:t>
      </w:r>
    </w:p>
    <w:p>
      <w:pPr>
        <w:jc w:val="center"/>
        <w:rPr>
          <w:rFonts w:hint="eastAsia"/>
        </w:rPr>
      </w:pPr>
    </w:p>
    <w:p>
      <w:pPr>
        <w:jc w:val="center"/>
        <w:rPr>
          <w:rFonts w:hint="eastAsia"/>
        </w:rPr>
      </w:pPr>
      <w:r>
        <w:rPr>
          <w:rFonts w:hint="eastAsia"/>
        </w:rPr>
        <w:t>甬交发〔2021〕17号</w:t>
      </w:r>
    </w:p>
    <w:p>
      <w:pPr>
        <w:jc w:val="center"/>
        <w:rPr>
          <w:rFonts w:hint="eastAsia"/>
        </w:rPr>
      </w:pPr>
    </w:p>
    <w:p>
      <w:pPr>
        <w:jc w:val="center"/>
        <w:rPr>
          <w:rFonts w:hint="eastAsia"/>
          <w:b/>
          <w:bCs/>
          <w:sz w:val="30"/>
          <w:szCs w:val="30"/>
        </w:rPr>
      </w:pPr>
      <w:r>
        <w:rPr>
          <w:rFonts w:hint="eastAsia"/>
          <w:b/>
          <w:bCs/>
          <w:sz w:val="30"/>
          <w:szCs w:val="30"/>
        </w:rPr>
        <w:t>关于印发宁波集装箱海铁联运扶持资金管理办法的通知</w:t>
      </w:r>
    </w:p>
    <w:p>
      <w:pPr>
        <w:pStyle w:val="2"/>
        <w:keepNext w:val="0"/>
        <w:keepLines w:val="0"/>
        <w:widowControl/>
        <w:suppressLineNumbers w:val="0"/>
        <w:spacing w:before="50" w:beforeAutospacing="0" w:after="50" w:afterAutospacing="0"/>
        <w:ind w:left="0" w:right="0" w:firstLine="0"/>
      </w:pPr>
      <w:r>
        <w:br w:type="textWrapping"/>
      </w:r>
      <w:r>
        <w:t>各有关单位∶</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为深入贯彻落实国家"一带一路"倡议、畅通国际国内双循环，进一步培育和壮大宁波海铁联运市场，加快打造世界一流强港，助力宁波交通强市建设，根据宁波港城融合发展工作联席会议精神，制定《宁波集装箱海铁联运扶持资金管理办法（修订）》，现予印发施行。原《关于印发宁波集装箱海铁联运扶持资金管理办法的通知》（甬交〔2019〕14号）即行废止。</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firstLine="420"/>
        <w:jc w:val="right"/>
      </w:pPr>
      <w:r>
        <w:t>宁波市交通运输局</w:t>
      </w:r>
    </w:p>
    <w:p>
      <w:pPr>
        <w:pStyle w:val="2"/>
        <w:keepNext w:val="0"/>
        <w:keepLines w:val="0"/>
        <w:widowControl/>
        <w:suppressLineNumbers w:val="0"/>
        <w:spacing w:before="50" w:beforeAutospacing="0" w:after="50" w:afterAutospacing="0"/>
        <w:ind w:left="0" w:right="0" w:firstLine="420"/>
        <w:jc w:val="right"/>
      </w:pPr>
      <w:r>
        <w:t>宁波市财政局</w:t>
      </w:r>
    </w:p>
    <w:p>
      <w:pPr>
        <w:pStyle w:val="2"/>
        <w:keepNext w:val="0"/>
        <w:keepLines w:val="0"/>
        <w:widowControl/>
        <w:suppressLineNumbers w:val="0"/>
        <w:spacing w:before="50" w:beforeAutospacing="0" w:after="50" w:afterAutospacing="0"/>
        <w:ind w:left="0" w:right="0" w:firstLine="420"/>
        <w:jc w:val="right"/>
      </w:pPr>
      <w:r>
        <w:t>2021年5月10日</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firstLine="0"/>
        <w:jc w:val="center"/>
      </w:pPr>
      <w:r>
        <w:rPr>
          <w:rStyle w:val="6"/>
        </w:rPr>
        <w:t>宁波集装箱海铁联运扶持资金管理办法（修订）</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0"/>
        <w:jc w:val="center"/>
      </w:pPr>
      <w:r>
        <w:rPr>
          <w:rStyle w:val="6"/>
        </w:rPr>
        <w:t>第一章 总则</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第一条 为深入贯彻落实国家"-带-路"倡议、畅通国际国内双循环，进一步培育和壮大宁波海铁联运市场，加快打造世界一流强港，助力宁波交通强市建设，根据宁波港城融合发展工作联席会议精神，继续设立宁波集装箱海铁联运扶持资金（以下简称"扶持资金"）。为规范扶持资金使用管理，提高资金使用绩效，特制定本办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第二条 扶持资金采取"激励引导，总量控制，平台运作，明确标准"的办法，其使用和管理应当公开透明、注重绩效、规范有序。</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第三条 扶持资金按照"固定基数，共同分担"的原则，由宁波市财政和宁波舟山港股份有限公司共同承担。其中宁波市财政每年度固定安排5000万元为补贴基数，超出部分由宁波市财政与宁波舟山港股份有限公司按3∶ 7比例承担。市财政局每年将扶持资金纳入年度预算。宁波舟山港股份有限公司承担的扶持资金报市交通运输局备案，并接受第三方审计。</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第二章 扶持对象及年限</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第四条 扶持资金的扶持对象为∶</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 从事宁波市集装箱海铁联运的实际经营人;</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（二）承担宁波端铁路港站与各实际进出口码头之间海铁联运中转集装箱驳运的集装箱运输公司;</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对为宁波市集装箱海铁联运提供集装箱运输服务的船公司的扶持办法，由宁波舟山港股份有限公司与各船公司另行签订量价挂钩优惠协议。</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第五条 扶持年限∶ 2021年1月1日至2023年12月31日。</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第三章 资格条件</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第六条 申请扶持资金应当满足以下条件∶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（一）申请扶持资金的从事宁波市集装箱海铁联运的实际经营人应具备以下条件∶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 按有关规定注册登记;</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2.具有法人资格，有固定的办公场所、组织机构和相关管理人员;</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3.考核年度实际完成经宁波港口海铁联运集装箱重箱数量达到2000TEU及以上;</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 年度完成重箱量在2000TEU及以上的海铁联运线路需与铁路方签订铁路运输代理协议，其余线路可以采用铁路货物运单;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5.实际从事宁波市海铁联运的业务经营、市场开拓、平台揽货等工作。</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（二）申请扶持资金的为宁波端铁路港站与各实际进出口码头之间提供海铁联运中转集装箱驳运服务的集装箱运输公司应具备以下条件∶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 按有关规定在宁波市登记注册;</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2.与海铁联运实际经营人签订驳运协议，从事宁波端铁路港站与各实际进出口码头之间的海铁联运中转集装箱驳运业务，并向宁波市交通运输局、宁波舟山港股份有限公司分别报备。</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第七条 有下列情形之一的，不得申请扶持资金∶</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 因违法、违规行为被执法部门查处并自执行之日起未满两年的，或因涉嫌违法行为正在被有关执法部门立案调查的;</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2.有拖欠银行债务、欠税、恶意欠薪等被列为严重失信行为的;</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 其它不符合申请条件的。</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第四章 扶持标准</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第八条 具体标准。 本办法以服务于 "一带 一路"、长江经济带、长三角一体化等重大发展战略为总体原则，以年度完成的海铁联运重箱箱量（TEU）作为量化依据。 主要分以下两种情况∶</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（一）从事宁波市集装箱海铁联运的实际经营人的扶持标准。 2021年至2023年具体线路扶持标准，原则上在上年度扶持标准基础上作适度调整，特别是 重点腹地、重点线路，一般每年度调整不得超过两次;新增线路扶持标准根据运价、所处区域市场情况等确定。具体线路扶持标准由宁波舟山港股份有限公司依照本办法另行制定，并报市交通运输局、 市财攻局核准。</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（二）承担宁波端铁路港站与各实际进出 口码头之间海铁联运中转集装箱驳运的集装箱运输公司的扶持标准。通过宁波端铁路港站与各实际进出口码头之间驳运的海铁联运中转重箱箱量，逐年按照每标箱16元、14元、12元标准给予扶持。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第九条 2021年至2023年期间，按每年度完成总箱量计算，平均单箱扶持金额不得突破135元/TEU。 在上述标准范围内，扶持资金按本办法第三条规定承担;超出上述标准的扶持资金，由宁波舟山港股份有限公司承担。</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第五章 绩效考核</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第十条 宁波舟山港股份有限公司作为宁波集装箱海铁联运的市场推进主体和平台，接受市交通运输局、市财政局的年度绩效考核，应当完成以下考核目标∶</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（一）2021年至2023年，宁波舟山港集装箱海铁联运每年度重箱量占比不低于50%</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（二）2021年至2023年，宁波舟山港每年度分别完成海铁联运集装箱箱量不低于120万 TEU、140万TEU、160万 TEU;</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（三）2021年至2023年，每年度分别增加内陆无水港2家及以上，到2023年内陆无水港总数不低于36家;</w:t>
      </w:r>
    </w:p>
    <w:p>
      <w:pPr>
        <w:pStyle w:val="2"/>
        <w:keepNext w:val="0"/>
        <w:keepLines w:val="0"/>
        <w:widowControl/>
        <w:suppressLineNumbers w:val="0"/>
        <w:spacing w:before="50" w:beforeAutospacing="0" w:after="50" w:afterAutospacing="0"/>
        <w:ind w:left="0" w:right="0" w:firstLine="420"/>
      </w:pPr>
      <w:r>
        <w:t>（四）根据省、市下达的年度目标任务，可对每年各项绩效考核目标作适当调整。</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在考核年度内，上述各项年度绩效考核目标，每 出现--项指标数据不达标的，市财政在对应年度扶持资金总额上，按照10%比例扣减，扣减的金额由宁波舟山港股份有限公司承担。</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第六章 申请、审核与发放</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第十一条 申请</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（一）扶持资金申请采取自愿原则，一般在次年6月30日前申报上一年度扶持资金。申报人须按时间要求自行向宁波舟山港股份有限公司提交 《宁波集装箱海铁联运扶持资金申请表》（见附表），逾期则视为放弃。</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（二）申请材料∶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（1）宁波市海铁联运扶持资金申请表;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（2）公司《营业执照》副本（复印件1份，验原件）;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（3）公司法定代表人、委托代理人的身份证明（复印件各1份，验原件），授权委托书（原件1份）;</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（4）与铁路方签订的运输代理协议或铁路货物运单;（5）实际从事宁波市集装箱海铁联运经营业务的年度工作总结性材料;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（6）需要提供的其他资料。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第十二条 审核与审计</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宁波舟山港股份有限公司负责对申报人提供的申请材料进行初审。不符合条件要求的，在5个工作日内以书面方式退回申报人。符合要求的，自受理之日起10个工作日之内书面报送市交通运输局，并出具初审报告。</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市交通局对申报材料进行审查，对审查通过的申报人，委托第三方审计机构对年度申报扶持资金资格条件、箱量数据的真实性、考核目标完成情况、扶持金额符合情况等进行审计，并出具审计报告。通过审计后，由市交通运输局提出年度扶持资金发放计划。</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第十三条 发放</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市交通运输局将拟下达扶持资金计划的企业名单及具体扶持金额在市交通局网站上向社会公示，公示期为7个工作日。公示期满无异议或者异议不成立的，经市交通运输局审核，提交市财政局作为扶持资金下发的依据。</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年度扶持资金由市财政局会同市交通运输局联合行文下达。市本级企业和注册在外地企业扶持资金由市交通运输局拨付。区县（市）企业由市财政局按照有关规定下达扶持资金。宁波舟山港股份有限公司或其指定的全资子公司设立海铁联运扶持资金专项账户，负责发放宁波舟山港股份有限公司承担的扶持资金。</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right="0"/>
        <w:jc w:val="center"/>
        <w:rPr>
          <w:b/>
          <w:bCs/>
        </w:rPr>
      </w:pPr>
      <w:r>
        <w:rPr>
          <w:b/>
          <w:bCs/>
        </w:rPr>
        <w:t>第七章 职责分工</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第十四条 市交通运输局负责编报年度扶持资金预算;对受理扶持资金申请进行审核，委托第三方审计机构进行审计;对资金发放计划进行公示;做好相关企业扶持资金具体拨付工作，负责建立扶持资金档案并进行管理;组织对扶持资金使用绩效诺行评价。</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第十五条 市财政局负责组织专项资金的预算编制和执行、绩效管理和财政监督检查。</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第十六条 宁波舟山港股份有限公司负责完成年度海铁联运发展考核任务;提出年度扶持资金预算;具体受理扶持资金申请、初审、报送工作;配合第三方审计工作。负责建立并管理海铁联运档案文件、工作台账等资料，保存扶持企业的申报材料、初审资料 等;具体承担绩效评估工作。</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第八章 监督与检查</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第十七条 申报单位应如实申报， 对申报材料的真实性负责，并自觉接受监督和检查。对弄虚作假、骗取扶持资金等违法违规行为，一经查实，将追回违反规定使用、骗取的扶持资金，需按《财政违法行为处罚处分条例》（国务院令第427号）等相关规定进行处理，并取消其在三年内的海铁联运扶持资金申请资格。构成犯罪的，依法追究刑事责任。</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第九章 附则</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第十八条 本办法自公布之日起30日后施行。扶持资金自 2021年1月1日起计算，有效期为三年。政策到期后，将根据市委市政府要求、绩效评估情况等确定是否继续实施以及延续期限。</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numPr>
          <w:ilvl w:val="0"/>
          <w:numId w:val="1"/>
        </w:numPr>
        <w:suppressLineNumbers w:val="0"/>
        <w:spacing w:before="50" w:beforeAutospacing="0" w:after="50" w:afterAutospacing="0"/>
        <w:ind w:left="0" w:right="0" w:firstLine="420"/>
      </w:pPr>
      <w:r>
        <w:t>本办法由市交通运输局和市财政局负责解释。</w:t>
      </w: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bookmarkStart w:id="0" w:name="_GoBack"/>
      <w:bookmarkEnd w:id="0"/>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numPr>
          <w:numId w:val="0"/>
        </w:numPr>
        <w:suppressLineNumbers w:val="0"/>
        <w:spacing w:before="50" w:beforeAutospacing="0" w:after="50" w:afterAutospacing="0"/>
        <w:ind w:right="0" w:rightChars="0"/>
        <w:jc w:val="left"/>
      </w:pPr>
    </w:p>
    <w:p>
      <w:pP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附件</w:t>
      </w:r>
    </w:p>
    <w:p>
      <w:pPr>
        <w:jc w:val="center"/>
        <w:rPr>
          <w:rFonts w:hint="eastAsia" w:ascii="楷体" w:hAnsi="楷体" w:eastAsia="楷体" w:cs="楷体"/>
          <w:sz w:val="44"/>
          <w:szCs w:val="44"/>
          <w:lang w:val="en-US" w:eastAsia="zh-CN"/>
        </w:rPr>
      </w:pPr>
      <w:r>
        <w:rPr>
          <w:rFonts w:hint="eastAsia" w:ascii="楷体" w:hAnsi="楷体" w:eastAsia="楷体" w:cs="楷体"/>
          <w:sz w:val="44"/>
          <w:szCs w:val="44"/>
          <w:lang w:val="en-US" w:eastAsia="zh-CN"/>
        </w:rPr>
        <w:t>宁波集装箱海铁联运扶持资金申请表</w:t>
      </w:r>
    </w:p>
    <w:p>
      <w:pPr>
        <w:rPr>
          <w:rFonts w:hint="eastAsia" w:ascii="楷体" w:hAnsi="楷体" w:eastAsia="楷体" w:cs="楷体"/>
          <w:sz w:val="44"/>
          <w:szCs w:val="44"/>
          <w:lang w:val="en-US" w:eastAsia="zh-CN"/>
        </w:rPr>
      </w:pPr>
    </w:p>
    <w:p>
      <w:pPr>
        <w:jc w:val="left"/>
        <w:rPr>
          <w:rFonts w:hint="default" w:ascii="楷体" w:hAnsi="楷体" w:eastAsia="楷体" w:cs="楷体"/>
          <w:sz w:val="28"/>
          <w:szCs w:val="28"/>
          <w:lang w:val="en-US" w:eastAsia="zh-CN"/>
        </w:rPr>
      </w:pPr>
      <w:r>
        <w:rPr>
          <w:rFonts w:hint="eastAsia" w:ascii="宋体" w:hAnsi="宋体" w:eastAsia="宋体" w:cs="宋体"/>
          <w:sz w:val="28"/>
          <w:szCs w:val="28"/>
          <w:lang w:val="en-US" w:eastAsia="zh-CN"/>
        </w:rPr>
        <w:t>20  年  月  日</w:t>
      </w:r>
      <w:r>
        <w:rPr>
          <w:rFonts w:hint="eastAsia" w:ascii="楷体" w:hAnsi="楷体" w:eastAsia="楷体" w:cs="楷体"/>
          <w:sz w:val="28"/>
          <w:szCs w:val="28"/>
          <w:lang w:val="en-US" w:eastAsia="zh-CN"/>
        </w:rPr>
        <w:t xml:space="preserve">                                    </w:t>
      </w:r>
      <w:r>
        <w:rPr>
          <w:color w:val="000000"/>
          <w:spacing w:val="0"/>
          <w:w w:val="100"/>
          <w:position w:val="0"/>
          <w:sz w:val="28"/>
          <w:szCs w:val="28"/>
        </w:rPr>
        <w:t>单位：万元</w:t>
      </w:r>
    </w:p>
    <w:tbl>
      <w:tblPr>
        <w:tblStyle w:val="4"/>
        <w:tblpPr w:leftFromText="180" w:rightFromText="180" w:vertAnchor="text" w:horzAnchor="page" w:tblpX="1942" w:tblpY="6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948"/>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7" w:hRule="atLeast"/>
        </w:trPr>
        <w:tc>
          <w:tcPr>
            <w:tcW w:w="1182" w:type="dxa"/>
            <w:vAlign w:val="top"/>
          </w:tcPr>
          <w:p>
            <w:pPr>
              <w:jc w:val="center"/>
              <w:rPr>
                <w:rFonts w:hint="eastAsia"/>
                <w:sz w:val="24"/>
                <w:szCs w:val="24"/>
                <w:vertAlign w:val="baseline"/>
              </w:rPr>
            </w:pPr>
          </w:p>
          <w:p>
            <w:pPr>
              <w:jc w:val="center"/>
              <w:rPr>
                <w:rFonts w:hint="eastAsia"/>
                <w:sz w:val="24"/>
                <w:szCs w:val="24"/>
                <w:vertAlign w:val="baseline"/>
              </w:rPr>
            </w:pPr>
            <w:r>
              <w:rPr>
                <w:rFonts w:hint="eastAsia"/>
                <w:sz w:val="24"/>
                <w:szCs w:val="24"/>
                <w:vertAlign w:val="baseline"/>
              </w:rPr>
              <w:t>企业</w:t>
            </w: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名称</w:t>
            </w:r>
          </w:p>
        </w:tc>
        <w:tc>
          <w:tcPr>
            <w:tcW w:w="4143" w:type="dxa"/>
            <w:gridSpan w:val="4"/>
            <w:vAlign w:val="top"/>
          </w:tcPr>
          <w:p>
            <w:pPr>
              <w:jc w:val="center"/>
              <w:rPr>
                <w:rFonts w:hint="eastAsia"/>
                <w:sz w:val="24"/>
                <w:szCs w:val="24"/>
                <w:vertAlign w:val="baseline"/>
                <w:lang w:eastAsia="zh-CN"/>
              </w:rPr>
            </w:pPr>
          </w:p>
          <w:p>
            <w:pPr>
              <w:jc w:val="center"/>
              <w:rPr>
                <w:rFonts w:hint="eastAsia"/>
                <w:sz w:val="24"/>
                <w:szCs w:val="24"/>
                <w:vertAlign w:val="baseline"/>
                <w:lang w:eastAsia="zh-CN"/>
              </w:rPr>
            </w:pPr>
          </w:p>
          <w:p>
            <w:pPr>
              <w:jc w:val="center"/>
              <w:rPr>
                <w:rFonts w:hint="default" w:eastAsiaTheme="minorEastAsia"/>
                <w:sz w:val="24"/>
                <w:szCs w:val="24"/>
                <w:vertAlign w:val="baseline"/>
                <w:lang w:val="en-US" w:eastAsia="zh-CN"/>
              </w:rPr>
            </w:pPr>
            <w:r>
              <w:rPr>
                <w:rFonts w:hint="eastAsia"/>
                <w:sz w:val="24"/>
                <w:szCs w:val="24"/>
                <w:vertAlign w:val="baseline"/>
                <w:lang w:eastAsia="zh-CN"/>
              </w:rPr>
              <w:t>（</w:t>
            </w:r>
            <w:r>
              <w:rPr>
                <w:rFonts w:hint="eastAsia"/>
                <w:sz w:val="24"/>
                <w:szCs w:val="24"/>
                <w:vertAlign w:val="baseline"/>
                <w:lang w:val="en-US" w:eastAsia="zh-CN"/>
              </w:rPr>
              <w:t>盖章）</w:t>
            </w:r>
          </w:p>
        </w:tc>
        <w:tc>
          <w:tcPr>
            <w:tcW w:w="1065" w:type="dxa"/>
            <w:vAlign w:val="top"/>
          </w:tcPr>
          <w:p>
            <w:pP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企业</w:t>
            </w:r>
          </w:p>
          <w:p>
            <w:pPr>
              <w:jc w:val="center"/>
              <w:rPr>
                <w:rFonts w:hint="eastAsia"/>
                <w:sz w:val="24"/>
                <w:szCs w:val="24"/>
                <w:vertAlign w:val="baseline"/>
                <w:lang w:val="en-US" w:eastAsia="zh-CN"/>
              </w:rPr>
            </w:pPr>
            <w:r>
              <w:rPr>
                <w:rFonts w:hint="eastAsia"/>
                <w:sz w:val="24"/>
                <w:szCs w:val="24"/>
                <w:vertAlign w:val="baseline"/>
                <w:lang w:val="en-US" w:eastAsia="zh-CN"/>
              </w:rPr>
              <w:t>法人</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代码</w:t>
            </w:r>
          </w:p>
        </w:tc>
        <w:tc>
          <w:tcPr>
            <w:tcW w:w="2132" w:type="dxa"/>
            <w:gridSpan w:val="2"/>
            <w:vAlign w:val="top"/>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单位</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地址</w:t>
            </w:r>
          </w:p>
        </w:tc>
        <w:tc>
          <w:tcPr>
            <w:tcW w:w="3078" w:type="dxa"/>
            <w:gridSpan w:val="3"/>
            <w:vAlign w:val="top"/>
          </w:tcPr>
          <w:p>
            <w:pPr>
              <w:rPr>
                <w:sz w:val="24"/>
                <w:szCs w:val="24"/>
                <w:vertAlign w:val="baseline"/>
              </w:rPr>
            </w:pPr>
          </w:p>
        </w:tc>
        <w:tc>
          <w:tcPr>
            <w:tcW w:w="1065" w:type="dxa"/>
            <w:vAlign w:val="top"/>
          </w:tcPr>
          <w:p>
            <w:pP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邮政</w:t>
            </w:r>
          </w:p>
          <w:p>
            <w:pPr>
              <w:jc w:val="center"/>
              <w:rPr>
                <w:rFonts w:hint="default"/>
                <w:sz w:val="24"/>
                <w:szCs w:val="24"/>
                <w:vertAlign w:val="baseline"/>
                <w:lang w:val="en-US" w:eastAsia="zh-CN"/>
              </w:rPr>
            </w:pPr>
            <w:r>
              <w:rPr>
                <w:rFonts w:hint="eastAsia"/>
                <w:sz w:val="24"/>
                <w:szCs w:val="24"/>
                <w:vertAlign w:val="baseline"/>
                <w:lang w:val="en-US" w:eastAsia="zh-CN"/>
              </w:rPr>
              <w:t>编码</w:t>
            </w:r>
          </w:p>
        </w:tc>
        <w:tc>
          <w:tcPr>
            <w:tcW w:w="1065" w:type="dxa"/>
            <w:vAlign w:val="top"/>
          </w:tcPr>
          <w:p>
            <w:pPr>
              <w:rPr>
                <w:sz w:val="24"/>
                <w:szCs w:val="24"/>
                <w:vertAlign w:val="baseline"/>
              </w:rPr>
            </w:pPr>
          </w:p>
        </w:tc>
        <w:tc>
          <w:tcPr>
            <w:tcW w:w="1066" w:type="dxa"/>
            <w:vAlign w:val="top"/>
          </w:tcPr>
          <w:p>
            <w:pP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单位经</w:t>
            </w:r>
          </w:p>
          <w:p>
            <w:pPr>
              <w:jc w:val="center"/>
              <w:rPr>
                <w:rFonts w:hint="default"/>
                <w:sz w:val="24"/>
                <w:szCs w:val="24"/>
                <w:vertAlign w:val="baseline"/>
                <w:lang w:val="en-US" w:eastAsia="zh-CN"/>
              </w:rPr>
            </w:pPr>
            <w:r>
              <w:rPr>
                <w:rFonts w:hint="eastAsia"/>
                <w:sz w:val="24"/>
                <w:szCs w:val="24"/>
                <w:vertAlign w:val="baseline"/>
                <w:lang w:val="en-US" w:eastAsia="zh-CN"/>
              </w:rPr>
              <w:t>济性质</w:t>
            </w:r>
          </w:p>
        </w:tc>
        <w:tc>
          <w:tcPr>
            <w:tcW w:w="1066" w:type="dxa"/>
            <w:vAlign w:val="top"/>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法人</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代表</w:t>
            </w:r>
          </w:p>
        </w:tc>
        <w:tc>
          <w:tcPr>
            <w:tcW w:w="948" w:type="dxa"/>
            <w:vAlign w:val="top"/>
          </w:tcPr>
          <w:p>
            <w:pPr>
              <w:rPr>
                <w:sz w:val="24"/>
                <w:szCs w:val="24"/>
                <w:vertAlign w:val="baseline"/>
              </w:rPr>
            </w:pPr>
          </w:p>
        </w:tc>
        <w:tc>
          <w:tcPr>
            <w:tcW w:w="1065"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sz w:val="24"/>
                <w:szCs w:val="24"/>
                <w:vertAlign w:val="baseline"/>
              </w:rPr>
            </w:pPr>
            <w:r>
              <w:rPr>
                <w:rFonts w:hint="eastAsia"/>
                <w:sz w:val="24"/>
                <w:szCs w:val="24"/>
                <w:vertAlign w:val="baseline"/>
                <w:lang w:val="en-US" w:eastAsia="zh-CN"/>
              </w:rPr>
              <w:t>电话</w:t>
            </w:r>
          </w:p>
        </w:tc>
        <w:tc>
          <w:tcPr>
            <w:tcW w:w="2130" w:type="dxa"/>
            <w:gridSpan w:val="2"/>
            <w:vAlign w:val="top"/>
          </w:tcPr>
          <w:p>
            <w:pPr>
              <w:rPr>
                <w:sz w:val="24"/>
                <w:szCs w:val="24"/>
                <w:vertAlign w:val="baseline"/>
              </w:rPr>
            </w:pPr>
          </w:p>
        </w:tc>
        <w:tc>
          <w:tcPr>
            <w:tcW w:w="1065" w:type="dxa"/>
            <w:vAlign w:val="top"/>
          </w:tcPr>
          <w:p>
            <w:pP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身份</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证号</w:t>
            </w:r>
          </w:p>
        </w:tc>
        <w:tc>
          <w:tcPr>
            <w:tcW w:w="2132" w:type="dxa"/>
            <w:gridSpan w:val="2"/>
            <w:vAlign w:val="top"/>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182" w:type="dxa"/>
            <w:vAlign w:val="top"/>
          </w:tcPr>
          <w:p>
            <w:pP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联系</w:t>
            </w: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人</w:t>
            </w:r>
          </w:p>
        </w:tc>
        <w:tc>
          <w:tcPr>
            <w:tcW w:w="948" w:type="dxa"/>
            <w:vAlign w:val="top"/>
          </w:tcPr>
          <w:p>
            <w:pPr>
              <w:rPr>
                <w:sz w:val="24"/>
                <w:szCs w:val="24"/>
                <w:vertAlign w:val="baseline"/>
              </w:rPr>
            </w:pPr>
          </w:p>
        </w:tc>
        <w:tc>
          <w:tcPr>
            <w:tcW w:w="1065"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sz w:val="24"/>
                <w:szCs w:val="24"/>
                <w:vertAlign w:val="baseline"/>
              </w:rPr>
            </w:pPr>
            <w:r>
              <w:rPr>
                <w:rFonts w:hint="eastAsia"/>
                <w:sz w:val="24"/>
                <w:szCs w:val="24"/>
                <w:vertAlign w:val="baseline"/>
                <w:lang w:val="en-US" w:eastAsia="zh-CN"/>
              </w:rPr>
              <w:t>电话</w:t>
            </w:r>
          </w:p>
        </w:tc>
        <w:tc>
          <w:tcPr>
            <w:tcW w:w="2130" w:type="dxa"/>
            <w:gridSpan w:val="2"/>
            <w:vAlign w:val="top"/>
          </w:tcPr>
          <w:p>
            <w:pPr>
              <w:rPr>
                <w:sz w:val="24"/>
                <w:szCs w:val="24"/>
                <w:vertAlign w:val="baseline"/>
              </w:rPr>
            </w:pPr>
          </w:p>
        </w:tc>
        <w:tc>
          <w:tcPr>
            <w:tcW w:w="1065" w:type="dxa"/>
            <w:vAlign w:val="top"/>
          </w:tcPr>
          <w:p>
            <w:pPr>
              <w:rPr>
                <w:rFonts w:hint="eastAsia"/>
                <w:sz w:val="24"/>
                <w:szCs w:val="24"/>
                <w:vertAlign w:val="baseline"/>
                <w:lang w:val="en-US" w:eastAsia="zh-CN"/>
              </w:rPr>
            </w:pPr>
          </w:p>
          <w:p>
            <w:pPr>
              <w:rPr>
                <w:rFonts w:hint="eastAsia"/>
                <w:sz w:val="24"/>
                <w:szCs w:val="24"/>
                <w:vertAlign w:val="baseline"/>
                <w:lang w:val="en-US" w:eastAsia="zh-CN"/>
              </w:rPr>
            </w:pP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传真</w:t>
            </w:r>
          </w:p>
        </w:tc>
        <w:tc>
          <w:tcPr>
            <w:tcW w:w="2132" w:type="dxa"/>
            <w:gridSpan w:val="2"/>
            <w:vAlign w:val="top"/>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开户</w:t>
            </w: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银行</w:t>
            </w:r>
          </w:p>
        </w:tc>
        <w:tc>
          <w:tcPr>
            <w:tcW w:w="2013" w:type="dxa"/>
            <w:gridSpan w:val="2"/>
            <w:vAlign w:val="top"/>
          </w:tcPr>
          <w:p>
            <w:pPr>
              <w:rPr>
                <w:sz w:val="24"/>
                <w:szCs w:val="24"/>
                <w:vertAlign w:val="baseline"/>
              </w:rPr>
            </w:pPr>
          </w:p>
        </w:tc>
        <w:tc>
          <w:tcPr>
            <w:tcW w:w="1065" w:type="dxa"/>
            <w:vAlign w:val="top"/>
          </w:tcPr>
          <w:p>
            <w:pPr>
              <w:rPr>
                <w:rFonts w:hint="eastAsia"/>
                <w:sz w:val="24"/>
                <w:szCs w:val="24"/>
                <w:vertAlign w:val="baseline"/>
                <w:lang w:val="en-US" w:eastAsia="zh-CN"/>
              </w:rPr>
            </w:pPr>
          </w:p>
          <w:p>
            <w:pPr>
              <w:rPr>
                <w:rFonts w:hint="eastAsia"/>
                <w:sz w:val="24"/>
                <w:szCs w:val="24"/>
                <w:vertAlign w:val="baseline"/>
                <w:lang w:val="en-US" w:eastAsia="zh-CN"/>
              </w:rPr>
            </w:pPr>
          </w:p>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账号</w:t>
            </w:r>
          </w:p>
        </w:tc>
        <w:tc>
          <w:tcPr>
            <w:tcW w:w="2130" w:type="dxa"/>
            <w:gridSpan w:val="2"/>
            <w:vAlign w:val="top"/>
          </w:tcPr>
          <w:p>
            <w:pPr>
              <w:rPr>
                <w:sz w:val="24"/>
                <w:szCs w:val="24"/>
                <w:vertAlign w:val="baseline"/>
              </w:rPr>
            </w:pPr>
          </w:p>
        </w:tc>
        <w:tc>
          <w:tcPr>
            <w:tcW w:w="1066"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信用</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等级</w:t>
            </w:r>
          </w:p>
        </w:tc>
        <w:tc>
          <w:tcPr>
            <w:tcW w:w="1066" w:type="dxa"/>
            <w:vAlign w:val="top"/>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182" w:type="dxa"/>
            <w:vAlign w:val="top"/>
          </w:tcPr>
          <w:p>
            <w:pPr>
              <w:rPr>
                <w:rFonts w:hint="eastAsia"/>
                <w:sz w:val="24"/>
                <w:szCs w:val="24"/>
                <w:vertAlign w:val="baseline"/>
              </w:rPr>
            </w:pPr>
          </w:p>
          <w:p>
            <w:pPr>
              <w:rPr>
                <w:rFonts w:hint="eastAsia"/>
                <w:sz w:val="24"/>
                <w:szCs w:val="24"/>
                <w:vertAlign w:val="baseline"/>
              </w:rPr>
            </w:pPr>
          </w:p>
          <w:p>
            <w:pPr>
              <w:rPr>
                <w:sz w:val="24"/>
                <w:szCs w:val="24"/>
                <w:vertAlign w:val="baseline"/>
              </w:rPr>
            </w:pPr>
            <w:r>
              <w:rPr>
                <w:rFonts w:hint="eastAsia"/>
                <w:sz w:val="24"/>
                <w:szCs w:val="24"/>
                <w:vertAlign w:val="baseline"/>
              </w:rPr>
              <w:t>考核年度 完成海铁 联运（集装箱、驳运）数量</w:t>
            </w:r>
          </w:p>
        </w:tc>
        <w:tc>
          <w:tcPr>
            <w:tcW w:w="7340" w:type="dxa"/>
            <w:gridSpan w:val="7"/>
            <w:vAlign w:val="top"/>
          </w:tcPr>
          <w:p>
            <w:pPr>
              <w:jc w:val="center"/>
              <w:rPr>
                <w:rFonts w:hint="eastAsia" w:eastAsiaTheme="minorEastAsia"/>
                <w:sz w:val="24"/>
                <w:szCs w:val="24"/>
                <w:vertAlign w:val="baseline"/>
                <w:lang w:eastAsia="zh-CN"/>
              </w:rPr>
            </w:pPr>
            <w:r>
              <w:rPr>
                <w:rFonts w:hint="eastAsia"/>
                <w:sz w:val="24"/>
                <w:szCs w:val="24"/>
                <w:vertAlign w:val="baseline"/>
                <w:lang w:val="en-US" w:eastAsia="zh-CN"/>
              </w:rPr>
              <w:t>1-</w:t>
            </w:r>
            <w:r>
              <w:rPr>
                <w:rFonts w:hint="eastAsia"/>
                <w:sz w:val="24"/>
                <w:szCs w:val="24"/>
                <w:vertAlign w:val="baseline"/>
              </w:rPr>
              <w:t>12月份数量细化（按月统计</w:t>
            </w:r>
            <w:r>
              <w:rPr>
                <w:rFonts w:hint="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both"/>
              <w:rPr>
                <w:rFonts w:hint="eastAsia"/>
                <w:sz w:val="24"/>
                <w:szCs w:val="24"/>
                <w:vertAlign w:val="baseline"/>
                <w:lang w:val="en-US" w:eastAsia="zh-CN"/>
              </w:rPr>
            </w:pPr>
          </w:p>
          <w:p>
            <w:pPr>
              <w:jc w:val="both"/>
              <w:rPr>
                <w:rFonts w:hint="eastAsia"/>
                <w:sz w:val="24"/>
                <w:szCs w:val="24"/>
                <w:vertAlign w:val="baseline"/>
                <w:lang w:val="en-US" w:eastAsia="zh-CN"/>
              </w:rPr>
            </w:pPr>
            <w:r>
              <w:rPr>
                <w:rFonts w:hint="eastAsia"/>
                <w:sz w:val="24"/>
                <w:szCs w:val="24"/>
                <w:vertAlign w:val="baseline"/>
                <w:lang w:val="en-US" w:eastAsia="zh-CN"/>
              </w:rPr>
              <w:t>申请补助</w:t>
            </w: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金额</w:t>
            </w:r>
          </w:p>
        </w:tc>
        <w:tc>
          <w:tcPr>
            <w:tcW w:w="7340" w:type="dxa"/>
            <w:gridSpan w:val="7"/>
            <w:vAlign w:val="top"/>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初审意见</w:t>
            </w:r>
          </w:p>
        </w:tc>
        <w:tc>
          <w:tcPr>
            <w:tcW w:w="7340" w:type="dxa"/>
            <w:gridSpan w:val="7"/>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（盖章）</w:t>
            </w:r>
          </w:p>
          <w:p>
            <w:pPr>
              <w:wordWrap w:val="0"/>
              <w:jc w:val="right"/>
              <w:rPr>
                <w:rFonts w:hint="default"/>
                <w:sz w:val="24"/>
                <w:szCs w:val="24"/>
                <w:vertAlign w:val="baseline"/>
                <w:lang w:val="en-US" w:eastAsia="zh-CN"/>
              </w:rPr>
            </w:pPr>
            <w:r>
              <w:rPr>
                <w:rFonts w:hint="eastAsia"/>
                <w:sz w:val="24"/>
                <w:szCs w:val="24"/>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8" w:hRule="atLeast"/>
        </w:trPr>
        <w:tc>
          <w:tcPr>
            <w:tcW w:w="1182" w:type="dxa"/>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both"/>
              <w:rPr>
                <w:rFonts w:hint="eastAsia"/>
                <w:sz w:val="24"/>
                <w:szCs w:val="24"/>
                <w:vertAlign w:val="baseline"/>
                <w:lang w:val="en-US" w:eastAsia="zh-CN"/>
              </w:rPr>
            </w:pPr>
          </w:p>
          <w:p>
            <w:pPr>
              <w:jc w:val="both"/>
              <w:rPr>
                <w:rFonts w:hint="eastAsia"/>
                <w:sz w:val="24"/>
                <w:szCs w:val="24"/>
                <w:vertAlign w:val="baseline"/>
                <w:lang w:val="en-US" w:eastAsia="zh-CN"/>
              </w:rPr>
            </w:pPr>
            <w:r>
              <w:rPr>
                <w:rFonts w:hint="eastAsia"/>
                <w:sz w:val="24"/>
                <w:szCs w:val="24"/>
                <w:vertAlign w:val="baseline"/>
                <w:lang w:val="en-US" w:eastAsia="zh-CN"/>
              </w:rPr>
              <w:t>市交通主管部门审核意见</w:t>
            </w: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default"/>
                <w:sz w:val="24"/>
                <w:szCs w:val="24"/>
                <w:vertAlign w:val="baseline"/>
                <w:lang w:val="en-US" w:eastAsia="zh-CN"/>
              </w:rPr>
            </w:pPr>
            <w:r>
              <w:rPr>
                <w:rFonts w:hint="eastAsia"/>
                <w:sz w:val="24"/>
                <w:szCs w:val="24"/>
                <w:vertAlign w:val="baseline"/>
                <w:lang w:val="en-US" w:eastAsia="zh-CN"/>
              </w:rPr>
              <w:t>备注</w:t>
            </w:r>
          </w:p>
        </w:tc>
        <w:tc>
          <w:tcPr>
            <w:tcW w:w="7340" w:type="dxa"/>
            <w:gridSpan w:val="7"/>
            <w:vAlign w:val="top"/>
          </w:tcPr>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p>
          <w:p>
            <w:pPr>
              <w:jc w:val="center"/>
              <w:rPr>
                <w:rFonts w:hint="eastAsia"/>
                <w:sz w:val="24"/>
                <w:szCs w:val="24"/>
                <w:vertAlign w:val="baseline"/>
                <w:lang w:val="en-US" w:eastAsia="zh-CN"/>
              </w:rPr>
            </w:pPr>
            <w:r>
              <w:rPr>
                <w:rFonts w:hint="eastAsia"/>
                <w:sz w:val="24"/>
                <w:szCs w:val="24"/>
                <w:vertAlign w:val="baseline"/>
                <w:lang w:val="en-US" w:eastAsia="zh-CN"/>
              </w:rPr>
              <w:t xml:space="preserve">                                     （盖章）</w:t>
            </w:r>
          </w:p>
          <w:p>
            <w:pPr>
              <w:wordWrap w:val="0"/>
              <w:jc w:val="right"/>
              <w:rPr>
                <w:rFonts w:hint="default"/>
                <w:sz w:val="24"/>
                <w:szCs w:val="24"/>
                <w:vertAlign w:val="baseline"/>
                <w:lang w:val="en-US" w:eastAsia="zh-CN"/>
              </w:rPr>
            </w:pPr>
            <w:r>
              <w:rPr>
                <w:rFonts w:hint="eastAsia"/>
                <w:sz w:val="24"/>
                <w:szCs w:val="24"/>
                <w:vertAlign w:val="baseline"/>
                <w:lang w:val="en-US" w:eastAsia="zh-CN"/>
              </w:rPr>
              <w:t xml:space="preserve">年    月    日    </w:t>
            </w:r>
          </w:p>
        </w:tc>
      </w:tr>
    </w:tbl>
    <w:p>
      <w:pPr>
        <w:pStyle w:val="2"/>
        <w:keepNext w:val="0"/>
        <w:keepLines w:val="0"/>
        <w:widowControl/>
        <w:numPr>
          <w:numId w:val="0"/>
        </w:numPr>
        <w:suppressLineNumbers w:val="0"/>
        <w:spacing w:before="50" w:beforeAutospacing="0" w:after="50" w:afterAutospacing="0"/>
        <w:ind w:right="0" w:rightChars="0"/>
        <w:jc w:val="left"/>
      </w:pPr>
    </w:p>
    <w:p>
      <w:pPr>
        <w:pStyle w:val="2"/>
        <w:keepNext w:val="0"/>
        <w:keepLines w:val="0"/>
        <w:widowControl/>
        <w:suppressLineNumbers w:val="0"/>
        <w:spacing w:before="50" w:beforeAutospacing="0" w:after="50" w:afterAutospacing="0"/>
        <w:ind w:left="0" w:right="0"/>
      </w:pPr>
    </w:p>
    <w:p>
      <w:pPr>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D1AA6"/>
    <w:multiLevelType w:val="singleLevel"/>
    <w:tmpl w:val="2F9D1AA6"/>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000D6"/>
    <w:rsid w:val="392B403C"/>
    <w:rsid w:val="5050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2021-06-18T05:57:00Z</dcterms:created>
  <dc:creator>刘明辉（奚妈）</dc:creator>
  <cp:lastModifiedBy>刘明辉（奚妈）</cp:lastModifiedBy>
  <dcterms:modified xsi:type="dcterms:W3CDTF">2021-06-18T06:01:59Z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8C486E83DC164210A2CA3D6C19ACEFA0</vt:lpwstr>
  </property>
</Properties>
</file>