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40" w:lineRule="auto"/>
        <w:ind w:left="0" w:right="0" w:firstLine="0"/>
        <w:jc w:val="center"/>
        <w:textAlignment w:val="auto"/>
        <w:rPr>
          <w:spacing w:val="0"/>
          <w:w w:val="100"/>
          <w:position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  <w:br w:type="textWrapping"/>
      </w:r>
      <w:r>
        <w:rPr>
          <w:spacing w:val="0"/>
          <w:w w:val="100"/>
          <w:position w:val="0"/>
          <w:sz w:val="24"/>
          <w:szCs w:val="24"/>
        </w:rPr>
        <w:t>宁波市服务业发展局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40" w:lineRule="auto"/>
        <w:ind w:left="0" w:right="0" w:firstLine="0"/>
        <w:jc w:val="center"/>
        <w:textAlignment w:val="auto"/>
        <w:rPr>
          <w:spacing w:val="0"/>
          <w:w w:val="100"/>
          <w:position w:val="0"/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宁波市发展和改革委员会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40" w:lineRule="auto"/>
        <w:ind w:left="0" w:right="0" w:firstLine="0"/>
        <w:jc w:val="center"/>
        <w:textAlignment w:val="auto"/>
        <w:rPr>
          <w:spacing w:val="0"/>
          <w:w w:val="100"/>
          <w:position w:val="0"/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宁波市经济和信息化局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40" w:lineRule="auto"/>
        <w:ind w:left="0" w:right="0" w:firstLine="0"/>
        <w:jc w:val="center"/>
        <w:textAlignment w:val="auto"/>
        <w:rPr>
          <w:spacing w:val="0"/>
          <w:w w:val="100"/>
          <w:position w:val="0"/>
          <w:sz w:val="24"/>
          <w:szCs w:val="24"/>
        </w:rPr>
      </w:pPr>
      <w:bookmarkStart w:id="0" w:name="_GoBack"/>
      <w:bookmarkEnd w:id="0"/>
      <w:r>
        <w:rPr>
          <w:spacing w:val="0"/>
          <w:w w:val="100"/>
          <w:position w:val="0"/>
          <w:sz w:val="24"/>
          <w:szCs w:val="24"/>
        </w:rPr>
        <w:t>宁波市财政局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40" w:lineRule="auto"/>
        <w:ind w:left="0" w:right="0" w:firstLine="0"/>
        <w:jc w:val="center"/>
        <w:textAlignment w:val="auto"/>
        <w:rPr>
          <w:sz w:val="24"/>
          <w:szCs w:val="24"/>
        </w:rPr>
      </w:pPr>
      <w:r>
        <w:rPr>
          <w:spacing w:val="0"/>
          <w:w w:val="100"/>
          <w:position w:val="0"/>
          <w:sz w:val="24"/>
          <w:szCs w:val="24"/>
        </w:rPr>
        <w:t>宁波市商务局</w:t>
      </w:r>
    </w:p>
    <w:p>
      <w:pPr>
        <w:pStyle w:val="6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甬服务产业〔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</w:rPr>
        <w:t>23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关于放宽汽车以旧换新让利促销活动政策</w:t>
      </w:r>
      <w:r>
        <w:rPr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color w:val="000000"/>
          <w:spacing w:val="0"/>
          <w:w w:val="100"/>
          <w:position w:val="0"/>
          <w:sz w:val="32"/>
          <w:szCs w:val="32"/>
        </w:rPr>
        <w:t>的补充通知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各区县（市）人民政府，市公安局、市市场监管局∶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根据市政府要求落实《省发展改革委等 5 部门关于放宽汽车以旧换新让利促销活动政策的通知》（浙发改明申 〔2021〕1 号）的精神，对《关于继续开展汽车以旧换新让利促销活动的通知》（甬服务产业〔2021〕5号）关于旧车的要求和标准进行调整，现将有关事项补充通知如下。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（一）放宽对旧车的要求。旧车指的是在 2019 年12月31日之前登记在车主名下的个人燃油乘用车（含小型、微型面包车 ），且义须在检验有效周期内。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其他事项按照《关于继续开展汽车以旧换新让利促销活动的通知》（甬服务产业〔2021〕5号）的要求继续执行。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（二）加强检测预报。若 2021 年底前汽车促销车辆达到分配名额数量，将提前结束该活动。请各区县（市）抓紧落实新的活动政策，同时进一步加大汽车以旧换新让利促销活动宣传力度，推动汽车促销活动顺利实施。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宁波市服务业发展局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​宁波市发展和改革委员会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宁波市经济和信息化局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宁波市财政局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宁波市商务局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2021年5月21日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76C9"/>
    <w:rsid w:val="719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2"/>
    <w:basedOn w:val="1"/>
    <w:uiPriority w:val="0"/>
    <w:pPr>
      <w:widowControl w:val="0"/>
      <w:shd w:val="clear" w:color="auto" w:fill="auto"/>
      <w:spacing w:after="760" w:line="614" w:lineRule="exact"/>
    </w:pPr>
    <w:rPr>
      <w:rFonts w:ascii="宋体" w:hAnsi="宋体" w:eastAsia="宋体" w:cs="宋体"/>
      <w:color w:val="FC000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72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300" w:line="347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2021-06-18T07:40:00Z</dcterms:created>
  <dc:creator>刘明辉（奚妈）</dc:creator>
  <cp:lastModifiedBy>刘明辉（奚妈）</cp:lastModifiedBy>
  <dcterms:modified xsi:type="dcterms:W3CDTF">2021-06-18T07:43:35Z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8CB6C5E1EE244274BED7A911C1F48B94</vt:lpwstr>
  </property>
</Properties>
</file>