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40" w:hanging="83" w:hangingChars="26"/>
        <w:rPr>
          <w:rFonts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附件1</w:t>
      </w:r>
    </w:p>
    <w:p>
      <w:pPr>
        <w:pStyle w:val="4"/>
        <w:spacing w:after="120" w:afterLines="50" w:line="580" w:lineRule="exact"/>
        <w:ind w:left="113"/>
        <w:jc w:val="center"/>
        <w:rPr>
          <w:rFonts w:ascii="创艺简标宋" w:eastAsia="创艺简标宋"/>
          <w:sz w:val="40"/>
          <w:szCs w:val="40"/>
          <w:lang w:eastAsia="zh-CN"/>
        </w:rPr>
      </w:pPr>
      <w:r>
        <w:rPr>
          <w:rFonts w:hint="eastAsia" w:ascii="创艺简标宋" w:eastAsia="创艺简标宋"/>
          <w:sz w:val="40"/>
          <w:szCs w:val="40"/>
          <w:lang w:eastAsia="zh-CN"/>
        </w:rPr>
        <w:t>宁波市制造业百强企业培育方案编制大纲</w:t>
      </w:r>
    </w:p>
    <w:p>
      <w:pPr>
        <w:pStyle w:val="4"/>
        <w:spacing w:line="419" w:lineRule="exact"/>
        <w:ind w:left="0"/>
        <w:jc w:val="center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一、企业基本情况</w:t>
      </w:r>
    </w:p>
    <w:p>
      <w:pPr>
        <w:spacing w:line="500" w:lineRule="exact"/>
        <w:ind w:firstLine="12" w:firstLineChars="6"/>
        <w:jc w:val="left"/>
        <w:rPr>
          <w:rFonts w:ascii="仿宋_GB2312" w:hAnsi="仿宋" w:eastAsia="仿宋_GB2312" w:cs="仿宋"/>
          <w:kern w:val="0"/>
          <w:szCs w:val="21"/>
        </w:rPr>
      </w:pPr>
      <w:r>
        <w:rPr>
          <w:rFonts w:hint="eastAsia" w:ascii="仿宋_GB2312" w:hAnsi="仿宋" w:eastAsia="仿宋_GB2312" w:cs="仿宋"/>
          <w:kern w:val="0"/>
          <w:szCs w:val="21"/>
        </w:rPr>
        <w:t>企业未来5年营业收入台阶目标（单选）：</w:t>
      </w:r>
      <w:r>
        <w:rPr>
          <w:rFonts w:hint="eastAsia" w:ascii="仿宋_GB2312" w:hAnsi="仿宋" w:eastAsia="仿宋_GB2312" w:cs="仿宋"/>
          <w:kern w:val="0"/>
          <w:szCs w:val="21"/>
          <w:lang w:eastAsia="en-US"/>
        </w:rPr>
        <w:sym w:font="Wingdings 2" w:char="00A3"/>
      </w:r>
      <w:r>
        <w:rPr>
          <w:rFonts w:hint="eastAsia" w:ascii="仿宋_GB2312" w:hAnsi="仿宋" w:eastAsia="仿宋_GB2312" w:cs="仿宋"/>
          <w:kern w:val="0"/>
          <w:szCs w:val="21"/>
        </w:rPr>
        <w:t>千亿级及以上 □五百亿级 □百亿级 □五十亿级</w:t>
      </w:r>
    </w:p>
    <w:tbl>
      <w:tblPr>
        <w:tblStyle w:val="26"/>
        <w:tblW w:w="9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2245"/>
        <w:gridCol w:w="2181"/>
        <w:gridCol w:w="2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企业名称（盖章）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注册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地址</w:t>
            </w:r>
          </w:p>
        </w:tc>
        <w:tc>
          <w:tcPr>
            <w:tcW w:w="7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所属地区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kern w:val="0"/>
                <w:sz w:val="22"/>
                <w:lang w:eastAsia="en-US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lang w:eastAsia="en-US"/>
              </w:rPr>
            </w:pPr>
            <w:r>
              <w:rPr>
                <w:rFonts w:hint="eastAsia" w:ascii="仿宋_GB2312" w:hAnsi="仿宋" w:eastAsia="仿宋_GB2312" w:cs="仿宋"/>
                <w:szCs w:val="21"/>
                <w:lang w:eastAsia="en-US"/>
              </w:rPr>
              <w:t>集团法定代表人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企业联系人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电子邮箱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集团企业经济类型</w:t>
            </w:r>
          </w:p>
        </w:tc>
        <w:tc>
          <w:tcPr>
            <w:tcW w:w="7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ind w:left="102"/>
              <w:jc w:val="both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□国有企业□私营企业 □外资企业 □中外合资企业 □其他企业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lang w:eastAsia="zh-CN"/>
              </w:rPr>
            </w:pPr>
          </w:p>
        </w:tc>
        <w:tc>
          <w:tcPr>
            <w:tcW w:w="7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ind w:left="102"/>
              <w:jc w:val="both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□有限责任公司 □股份有限公司 □股份合作企业 □其他企业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企业经营范围</w:t>
            </w:r>
          </w:p>
        </w:tc>
        <w:tc>
          <w:tcPr>
            <w:tcW w:w="7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主要产品</w:t>
            </w:r>
          </w:p>
        </w:tc>
        <w:tc>
          <w:tcPr>
            <w:tcW w:w="7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80" w:lineRule="exact"/>
              <w:ind w:left="102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exac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  <w:lang w:eastAsia="zh-CN"/>
              </w:rPr>
              <w:t>主导产品所属行业(单选)</w:t>
            </w:r>
          </w:p>
        </w:tc>
        <w:tc>
          <w:tcPr>
            <w:tcW w:w="7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jc w:val="both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绿色石化; □汽车; □高端装备; □新材料; □电子信息; □关键基础件（元器件）; □智能家电; □时尚纺织服装; □生物医药; □文体用品; □节能环保；□未来产业；□其他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拥有国际、国内领先技术情况（国际、国内专利和标准数等）</w:t>
            </w:r>
          </w:p>
        </w:tc>
        <w:tc>
          <w:tcPr>
            <w:tcW w:w="704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5"/>
              <w:spacing w:line="280" w:lineRule="exact"/>
              <w:ind w:left="102"/>
              <w:rPr>
                <w:rFonts w:ascii="仿宋_GB2312" w:hAnsi="仿宋" w:eastAsia="仿宋_GB2312" w:cs="仿宋"/>
                <w:spacing w:val="10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拥有国家、省、市各级各类研发机构情况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5"/>
              <w:spacing w:line="280" w:lineRule="exact"/>
              <w:ind w:left="102"/>
              <w:rPr>
                <w:rFonts w:ascii="仿宋_GB2312" w:hAnsi="仿宋" w:eastAsia="仿宋_GB2312" w:cs="仿宋"/>
                <w:spacing w:val="10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市外机构情况（包括生产制造基地、销售公司等）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5"/>
              <w:spacing w:line="280" w:lineRule="exact"/>
              <w:ind w:left="102"/>
              <w:rPr>
                <w:rFonts w:ascii="仿宋_GB2312" w:hAnsi="仿宋" w:eastAsia="仿宋_GB2312" w:cs="仿宋"/>
                <w:spacing w:val="10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人才情况（拥有院士（包括柔性使用）、博士后工作站、硕士、博士及以上专业人才、其他专业技术人才数量和情况）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5"/>
              <w:spacing w:line="280" w:lineRule="exact"/>
              <w:ind w:left="102"/>
              <w:rPr>
                <w:rFonts w:ascii="仿宋_GB2312" w:hAnsi="仿宋" w:eastAsia="仿宋_GB2312" w:cs="仿宋"/>
                <w:spacing w:val="10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上市情况（是否已上市或有上市计划）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5"/>
              <w:spacing w:line="280" w:lineRule="exact"/>
              <w:ind w:left="102"/>
              <w:rPr>
                <w:rFonts w:ascii="仿宋_GB2312" w:hAnsi="仿宋" w:eastAsia="仿宋_GB2312" w:cs="仿宋"/>
                <w:spacing w:val="10"/>
                <w:w w:val="95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90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5"/>
              <w:spacing w:line="280" w:lineRule="exact"/>
              <w:ind w:left="428" w:hanging="428" w:hangingChars="200"/>
              <w:jc w:val="both"/>
              <w:rPr>
                <w:rFonts w:ascii="仿宋_GB2312" w:hAnsi="仿宋" w:eastAsia="仿宋_GB2312" w:cs="仿宋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pacing w:val="2"/>
                <w:sz w:val="21"/>
                <w:szCs w:val="21"/>
                <w:lang w:eastAsia="zh-CN"/>
              </w:rPr>
              <w:t>近3年企业未发生较大及以上生产安全事故、环境污染事故以及其他严重违反相关法律法规行为。是</w:t>
            </w:r>
            <w:r>
              <w:rPr>
                <w:rFonts w:hint="eastAsia" w:ascii="仿宋_GB2312" w:hAnsi="仿宋" w:eastAsia="仿宋_GB2312" w:cs="仿宋"/>
                <w:spacing w:val="2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pacing w:val="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" w:eastAsia="仿宋_GB2312" w:cs="仿宋"/>
                <w:spacing w:val="2"/>
                <w:sz w:val="21"/>
                <w:szCs w:val="21"/>
                <w:lang w:eastAsia="zh-CN"/>
              </w:rPr>
              <w:t xml:space="preserve">  否□</w:t>
            </w:r>
          </w:p>
        </w:tc>
      </w:tr>
    </w:tbl>
    <w:p>
      <w:pPr>
        <w:pStyle w:val="4"/>
        <w:spacing w:line="419" w:lineRule="exact"/>
        <w:jc w:val="center"/>
        <w:rPr>
          <w:rFonts w:ascii="黑体" w:hAnsi="黑体" w:eastAsia="黑体" w:cs="黑体"/>
          <w:sz w:val="36"/>
          <w:szCs w:val="36"/>
          <w:lang w:eastAsia="zh-CN"/>
        </w:rPr>
      </w:pPr>
    </w:p>
    <w:p>
      <w:pPr>
        <w:pStyle w:val="4"/>
        <w:spacing w:after="240" w:afterLines="100" w:line="419" w:lineRule="exact"/>
        <w:ind w:left="0"/>
        <w:jc w:val="center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二、企业集团及下属控股子公司清单</w:t>
      </w:r>
    </w:p>
    <w:p>
      <w:pPr>
        <w:pStyle w:val="4"/>
        <w:spacing w:line="419" w:lineRule="exact"/>
        <w:ind w:left="0" w:firstLine="580" w:firstLineChars="200"/>
        <w:jc w:val="both"/>
        <w:rPr>
          <w:rFonts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（一）宁波地区制造业企业</w:t>
      </w:r>
    </w:p>
    <w:tbl>
      <w:tblPr>
        <w:tblStyle w:val="11"/>
        <w:tblpPr w:leftFromText="180" w:rightFromText="180" w:vertAnchor="text" w:tblpXSpec="center" w:tblpY="267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1515"/>
        <w:gridCol w:w="1725"/>
        <w:gridCol w:w="163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51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172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2020年营业收入（万元）</w:t>
            </w:r>
          </w:p>
        </w:tc>
        <w:tc>
          <w:tcPr>
            <w:tcW w:w="163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2019年度亩均效益评价</w:t>
            </w:r>
          </w:p>
        </w:tc>
        <w:tc>
          <w:tcPr>
            <w:tcW w:w="1650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2020年度亩均效益评价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spacing w:line="419" w:lineRule="exact"/>
        <w:ind w:left="0" w:firstLine="580" w:firstLineChars="20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419" w:lineRule="exact"/>
        <w:ind w:left="0" w:firstLine="580" w:firstLineChars="200"/>
        <w:jc w:val="both"/>
        <w:rPr>
          <w:rFonts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（二）其他企业（包括宁波地区非制造业企业及市外企业）</w:t>
      </w:r>
    </w:p>
    <w:tbl>
      <w:tblPr>
        <w:tblStyle w:val="11"/>
        <w:tblpPr w:leftFromText="180" w:rightFromText="180" w:vertAnchor="text" w:tblpXSpec="center" w:tblpY="267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80"/>
        <w:gridCol w:w="1515"/>
        <w:gridCol w:w="32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51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企业所在地</w:t>
            </w:r>
          </w:p>
        </w:tc>
        <w:tc>
          <w:tcPr>
            <w:tcW w:w="322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1785" w:type="dxa"/>
            <w:vAlign w:val="center"/>
          </w:tcPr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2020年营业收入</w:t>
            </w:r>
          </w:p>
          <w:p>
            <w:pPr>
              <w:pStyle w:val="25"/>
              <w:tabs>
                <w:tab w:val="left" w:pos="1782"/>
              </w:tabs>
              <w:spacing w:before="12"/>
              <w:jc w:val="center"/>
              <w:rPr>
                <w:rFonts w:ascii="黑体" w:hAnsi="黑体" w:eastAsia="黑体" w:cs="黑体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4"/>
              <w:spacing w:line="419" w:lineRule="exact"/>
              <w:ind w:left="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4"/>
        <w:spacing w:line="419" w:lineRule="exact"/>
        <w:ind w:left="0"/>
        <w:jc w:val="both"/>
        <w:rPr>
          <w:rFonts w:ascii="仿宋_GB2312" w:hAnsi="仿宋_GB2312" w:eastAsia="仿宋_GB2312" w:cs="仿宋_GB2312"/>
          <w:lang w:eastAsia="zh-CN"/>
        </w:rPr>
      </w:pPr>
    </w:p>
    <w:p>
      <w:pPr>
        <w:pStyle w:val="4"/>
        <w:spacing w:line="419" w:lineRule="exact"/>
        <w:ind w:left="0"/>
        <w:jc w:val="both"/>
        <w:rPr>
          <w:rFonts w:ascii="仿宋_GB2312" w:hAnsi="仿宋_GB2312" w:eastAsia="仿宋_GB2312" w:cs="仿宋_GB2312"/>
          <w:lang w:eastAsia="zh-CN"/>
        </w:rPr>
      </w:pPr>
    </w:p>
    <w:p>
      <w:pPr>
        <w:pStyle w:val="4"/>
        <w:spacing w:line="419" w:lineRule="exact"/>
        <w:ind w:left="0"/>
        <w:jc w:val="both"/>
        <w:rPr>
          <w:rFonts w:ascii="仿宋_GB2312" w:hAnsi="仿宋_GB2312" w:eastAsia="仿宋_GB2312" w:cs="仿宋_GB2312"/>
          <w:lang w:eastAsia="zh-CN"/>
        </w:rPr>
      </w:pPr>
    </w:p>
    <w:p>
      <w:pPr>
        <w:pStyle w:val="4"/>
        <w:spacing w:line="419" w:lineRule="exact"/>
        <w:ind w:left="0"/>
        <w:jc w:val="both"/>
        <w:rPr>
          <w:rFonts w:ascii="仿宋_GB2312" w:hAnsi="仿宋_GB2312" w:eastAsia="仿宋_GB2312" w:cs="仿宋_GB2312"/>
          <w:lang w:eastAsia="zh-CN"/>
        </w:rPr>
      </w:pPr>
    </w:p>
    <w:p>
      <w:pPr>
        <w:pStyle w:val="4"/>
        <w:spacing w:after="240" w:afterLines="100" w:line="419" w:lineRule="exact"/>
        <w:ind w:left="0"/>
        <w:jc w:val="center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三、企业近3年发展情况和未来5年目标</w:t>
      </w:r>
    </w:p>
    <w:p>
      <w:pPr>
        <w:pStyle w:val="4"/>
        <w:spacing w:line="419" w:lineRule="exact"/>
        <w:ind w:left="0"/>
        <w:jc w:val="center"/>
        <w:rPr>
          <w:rFonts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单位：亿元人民币</w:t>
      </w:r>
    </w:p>
    <w:tbl>
      <w:tblPr>
        <w:tblStyle w:val="26"/>
        <w:tblW w:w="9476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820"/>
        <w:gridCol w:w="746"/>
        <w:gridCol w:w="845"/>
        <w:gridCol w:w="669"/>
        <w:gridCol w:w="736"/>
        <w:gridCol w:w="709"/>
        <w:gridCol w:w="696"/>
        <w:gridCol w:w="818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restart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指标</w:t>
            </w:r>
          </w:p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pStyle w:val="25"/>
              <w:tabs>
                <w:tab w:val="left" w:pos="633"/>
              </w:tabs>
              <w:spacing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指  标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18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2019 年</w:t>
            </w:r>
          </w:p>
        </w:tc>
        <w:tc>
          <w:tcPr>
            <w:tcW w:w="669" w:type="dxa"/>
            <w:vMerge w:val="restart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2020年</w:t>
            </w:r>
          </w:p>
        </w:tc>
        <w:tc>
          <w:tcPr>
            <w:tcW w:w="3654" w:type="dxa"/>
            <w:gridSpan w:val="5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未来预期目标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820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2021年</w:t>
            </w:r>
          </w:p>
        </w:tc>
        <w:tc>
          <w:tcPr>
            <w:tcW w:w="709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2022年</w:t>
            </w:r>
          </w:p>
        </w:tc>
        <w:tc>
          <w:tcPr>
            <w:tcW w:w="69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2023年</w:t>
            </w:r>
          </w:p>
        </w:tc>
        <w:tc>
          <w:tcPr>
            <w:tcW w:w="818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2024年</w:t>
            </w:r>
          </w:p>
        </w:tc>
        <w:tc>
          <w:tcPr>
            <w:tcW w:w="695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restart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规模</w:t>
            </w: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集团营业收入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制造业营业收入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工业总产值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</w:rPr>
              <w:t>集团资产总额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restart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效益</w:t>
            </w: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集团利润总额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集团税收总额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742" w:type="dxa"/>
            <w:vMerge w:val="restart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创新</w:t>
            </w: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集团研发费用总额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研发费用\营业收入（%）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研发费用\制造业营业收入(%)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restart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国际化</w:t>
            </w: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境外收入\营业收入（%）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出口交货值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restart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eastAsia="zh-CN"/>
              </w:rPr>
              <w:t>稳健性</w:t>
            </w: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企业负债\总资产（%）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42" w:type="dxa"/>
            <w:vMerge w:val="continue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25"/>
              <w:spacing w:line="28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境外资产\总资产（%）</w:t>
            </w:r>
          </w:p>
        </w:tc>
        <w:tc>
          <w:tcPr>
            <w:tcW w:w="746" w:type="dxa"/>
            <w:vAlign w:val="center"/>
          </w:tcPr>
          <w:p>
            <w:pPr>
              <w:pStyle w:val="25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25"/>
              <w:tabs>
                <w:tab w:val="left" w:pos="1782"/>
              </w:tabs>
              <w:spacing w:line="320" w:lineRule="exact"/>
              <w:jc w:val="center"/>
              <w:rPr>
                <w:rFonts w:ascii="仿宋_GB2312" w:hAnsi="仿宋" w:eastAsia="仿宋_GB2312" w:cs="仿宋"/>
                <w:sz w:val="21"/>
                <w:szCs w:val="21"/>
                <w:lang w:eastAsia="zh-CN"/>
              </w:rPr>
            </w:pPr>
          </w:p>
        </w:tc>
      </w:tr>
    </w:tbl>
    <w:tbl>
      <w:tblPr>
        <w:tblStyle w:val="11"/>
        <w:tblpPr w:leftFromText="180" w:rightFromText="180" w:vertAnchor="text" w:tblpX="10214" w:tblpY="-444"/>
        <w:tblOverlap w:val="never"/>
        <w:tblW w:w="3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859" w:type="dxa"/>
          </w:tcPr>
          <w:p>
            <w:pPr>
              <w:spacing w:before="9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before="120" w:beforeLines="50" w:line="440" w:lineRule="exact"/>
        <w:rPr>
          <w:rFonts w:ascii="楷体_GB2312" w:hAnsi="仿宋" w:eastAsia="楷体_GB2312" w:cs="仿宋"/>
          <w:spacing w:val="-1"/>
          <w:sz w:val="24"/>
          <w:szCs w:val="24"/>
        </w:rPr>
      </w:pPr>
      <w:r>
        <w:rPr>
          <w:rFonts w:hint="eastAsia" w:ascii="楷体_GB2312" w:hAnsi="仿宋" w:eastAsia="楷体_GB2312" w:cs="仿宋"/>
          <w:bCs/>
          <w:sz w:val="24"/>
          <w:szCs w:val="24"/>
        </w:rPr>
        <w:t>备注：</w:t>
      </w:r>
      <w:r>
        <w:rPr>
          <w:rFonts w:hint="eastAsia" w:ascii="楷体_GB2312" w:hAnsi="仿宋" w:eastAsia="楷体_GB2312" w:cs="仿宋"/>
          <w:spacing w:val="-1"/>
          <w:sz w:val="24"/>
          <w:szCs w:val="24"/>
        </w:rPr>
        <w:t>1.无法提供的数据，予以简单说明。</w:t>
      </w:r>
    </w:p>
    <w:p>
      <w:pPr>
        <w:spacing w:before="9" w:line="440" w:lineRule="exact"/>
        <w:ind w:firstLine="714" w:firstLineChars="300"/>
        <w:rPr>
          <w:rFonts w:ascii="楷体_GB2312" w:hAnsi="仿宋" w:eastAsia="楷体_GB2312" w:cs="仿宋"/>
          <w:spacing w:val="-1"/>
          <w:sz w:val="24"/>
          <w:szCs w:val="24"/>
        </w:rPr>
      </w:pPr>
      <w:r>
        <w:rPr>
          <w:rFonts w:hint="eastAsia" w:ascii="楷体_GB2312" w:hAnsi="仿宋" w:eastAsia="楷体_GB2312" w:cs="仿宋"/>
          <w:spacing w:val="-1"/>
          <w:sz w:val="24"/>
          <w:szCs w:val="24"/>
        </w:rPr>
        <w:t>2.工业总产值为集团在宁波地区工业总产值。</w:t>
      </w:r>
    </w:p>
    <w:p>
      <w:pPr>
        <w:spacing w:before="9" w:line="440" w:lineRule="exact"/>
        <w:ind w:firstLine="714" w:firstLineChars="300"/>
        <w:rPr>
          <w:rFonts w:ascii="楷体_GB2312" w:hAnsi="仿宋" w:eastAsia="楷体_GB2312" w:cs="仿宋"/>
          <w:spacing w:val="-1"/>
          <w:sz w:val="24"/>
          <w:szCs w:val="24"/>
        </w:rPr>
      </w:pPr>
      <w:r>
        <w:rPr>
          <w:rFonts w:hint="eastAsia" w:ascii="楷体_GB2312" w:hAnsi="仿宋" w:eastAsia="楷体_GB2312" w:cs="仿宋"/>
          <w:spacing w:val="-1"/>
          <w:sz w:val="24"/>
          <w:szCs w:val="24"/>
        </w:rPr>
        <w:t>3.税收为集团在宁波地区实缴增值税和企业所得税合计。</w:t>
      </w:r>
    </w:p>
    <w:p>
      <w:pPr>
        <w:spacing w:before="9" w:line="440" w:lineRule="exact"/>
        <w:ind w:firstLine="714" w:firstLineChars="300"/>
        <w:rPr>
          <w:rFonts w:ascii="楷体_GB2312" w:hAnsi="仿宋" w:eastAsia="楷体_GB2312" w:cs="仿宋"/>
          <w:spacing w:val="-1"/>
          <w:sz w:val="24"/>
          <w:szCs w:val="24"/>
        </w:rPr>
      </w:pPr>
      <w:r>
        <w:rPr>
          <w:rFonts w:hint="eastAsia" w:ascii="楷体_GB2312" w:hAnsi="仿宋" w:eastAsia="楷体_GB2312" w:cs="仿宋"/>
          <w:spacing w:val="-1"/>
          <w:sz w:val="24"/>
          <w:szCs w:val="24"/>
        </w:rPr>
        <w:t>4.境外是指中国大陆以外的地区和国家。</w:t>
      </w:r>
    </w:p>
    <w:p>
      <w:pPr>
        <w:spacing w:before="3" w:line="440" w:lineRule="exact"/>
        <w:ind w:firstLine="714" w:firstLineChars="300"/>
        <w:rPr>
          <w:rFonts w:ascii="楷体_GB2312" w:hAnsi="仿宋" w:eastAsia="楷体_GB2312" w:cs="仿宋"/>
          <w:spacing w:val="-1"/>
          <w:sz w:val="24"/>
          <w:szCs w:val="24"/>
        </w:rPr>
      </w:pPr>
      <w:r>
        <w:rPr>
          <w:rFonts w:hint="eastAsia" w:ascii="楷体_GB2312" w:hAnsi="仿宋" w:eastAsia="楷体_GB2312" w:cs="仿宋"/>
          <w:spacing w:val="-1"/>
          <w:sz w:val="24"/>
          <w:szCs w:val="24"/>
        </w:rPr>
        <w:t>5.提供2018、2019和2020年度企业审计报告相关页。</w:t>
      </w:r>
    </w:p>
    <w:p>
      <w:pPr>
        <w:spacing w:before="12" w:line="440" w:lineRule="exact"/>
        <w:ind w:firstLine="714" w:firstLineChars="300"/>
        <w:rPr>
          <w:rFonts w:ascii="楷体_GB2312" w:hAnsi="仿宋" w:eastAsia="楷体_GB2312" w:cs="仿宋"/>
          <w:spacing w:val="-1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1906" w:h="16840"/>
          <w:pgMar w:top="2098" w:right="1474" w:bottom="1814" w:left="1588" w:header="0" w:footer="1020" w:gutter="0"/>
          <w:cols w:space="720" w:num="1"/>
          <w:titlePg/>
          <w:docGrid w:linePitch="286" w:charSpace="0"/>
        </w:sectPr>
      </w:pPr>
      <w:r>
        <w:rPr>
          <w:rFonts w:hint="eastAsia" w:ascii="楷体_GB2312" w:hAnsi="仿宋" w:eastAsia="楷体_GB2312" w:cs="仿宋"/>
          <w:spacing w:val="-1"/>
          <w:sz w:val="24"/>
          <w:szCs w:val="24"/>
        </w:rPr>
        <w:t>6.企业须为以上数据真实性负责。</w:t>
      </w:r>
    </w:p>
    <w:p>
      <w:pPr>
        <w:pStyle w:val="4"/>
        <w:spacing w:after="120" w:afterLines="50" w:line="580" w:lineRule="exact"/>
        <w:ind w:left="0"/>
        <w:jc w:val="center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四、企业培育方案</w:t>
      </w:r>
    </w:p>
    <w:p>
      <w:pPr>
        <w:pStyle w:val="4"/>
        <w:spacing w:after="120" w:afterLines="50" w:line="580" w:lineRule="exact"/>
        <w:ind w:left="0"/>
        <w:jc w:val="center"/>
        <w:rPr>
          <w:rFonts w:ascii="楷体_GB2312" w:hAnsi="仿宋_GB2312" w:eastAsia="楷体_GB2312" w:cs="仿宋_GB2312"/>
          <w:sz w:val="30"/>
          <w:szCs w:val="30"/>
          <w:lang w:val="en"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" w:eastAsia="zh-CN"/>
        </w:rPr>
        <w:t>（可参照以下提纲）</w:t>
      </w:r>
    </w:p>
    <w:p>
      <w:pPr>
        <w:pStyle w:val="4"/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pStyle w:val="4"/>
        <w:spacing w:line="580" w:lineRule="exact"/>
        <w:ind w:left="0" w:firstLine="640" w:firstLineChars="200"/>
        <w:jc w:val="both"/>
        <w:rPr>
          <w:rFonts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（一）总体目标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企业到2025年的重点发展目标，主要指规模（营业收入、工业总产值）、税收等目标。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（二）发展路径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结合重点发展方向，提出具有针对性的工作举措，明确今后5年企业发展的路线计划和时间节点，具有较强的可及性和可操作性。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扩大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有效投资方面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2.开展并购重组方面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打造总部经济方面......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开展股份制改造方面......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提升创新能力方面......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引进培育各类人才方面......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创品牌提质量方面......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开展集群集聚发展方面......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9.其他方面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......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（可以选择以上的几项发展路径进行详细描述）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楷体_GB2312" w:hAnsi="楷体_GB2312" w:eastAsia="楷体_GB2312" w:cs="楷体_GB2312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（三）政策支持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区县（市）政府和管委会已承诺给予企业的相关政策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区县（市）政府和管委会承诺给予企业的扶持内容，包括但不限于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项目用地、财政奖励、环境容量、能耗指标、人才引进、并购重组、上市融资等方面的政策内容。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2.希望宁波市政府予以支持的重要事项</w:t>
      </w:r>
    </w:p>
    <w:p>
      <w:pPr>
        <w:pStyle w:val="4"/>
        <w:spacing w:line="580" w:lineRule="exact"/>
        <w:ind w:left="0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申报企业希望宁波市政府予以“一企一策”扶持的事项，包括但不限于项目用地、财政奖励、环境容量、能耗指标、人才引进、并购重组、上市融资等方面的内容。请充分论证需要扶持的理由。</w:t>
      </w:r>
    </w:p>
    <w:p>
      <w:pPr>
        <w:pStyle w:val="4"/>
        <w:spacing w:line="580" w:lineRule="exact"/>
        <w:ind w:left="0"/>
        <w:jc w:val="both"/>
        <w:rPr>
          <w:rFonts w:ascii="仿宋_GB2312" w:hAnsi="仿宋_GB2312" w:eastAsia="仿宋_GB2312" w:cs="仿宋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</w:p>
    <w:p>
      <w:pPr>
        <w:pStyle w:val="4"/>
        <w:spacing w:line="580" w:lineRule="exact"/>
        <w:ind w:left="0"/>
        <w:jc w:val="both"/>
        <w:rPr>
          <w:rFonts w:ascii="楷体_GB2312" w:hAnsi="楷体_GB2312" w:eastAsia="楷体_GB2312" w:cs="楷体_GB2312"/>
          <w:lang w:eastAsia="zh-CN"/>
        </w:rPr>
      </w:pPr>
      <w:bookmarkStart w:id="0" w:name="_GoBack"/>
      <w:bookmarkEnd w:id="0"/>
    </w:p>
    <w:sectPr>
      <w:footerReference r:id="rId8" w:type="first"/>
      <w:footerReference r:id="rId6" w:type="default"/>
      <w:footerReference r:id="rId7" w:type="even"/>
      <w:pgSz w:w="11906" w:h="16838"/>
      <w:pgMar w:top="2098" w:right="1474" w:bottom="1814" w:left="1588" w:header="851" w:footer="102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57202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50834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ind w:firstLine="180" w:firstLineChars="1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50158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2"/>
    <w:rsid w:val="00001529"/>
    <w:rsid w:val="00003057"/>
    <w:rsid w:val="00003F4A"/>
    <w:rsid w:val="00004B13"/>
    <w:rsid w:val="0000570A"/>
    <w:rsid w:val="000072FC"/>
    <w:rsid w:val="00011256"/>
    <w:rsid w:val="000118B1"/>
    <w:rsid w:val="000142F7"/>
    <w:rsid w:val="0001572F"/>
    <w:rsid w:val="0002471B"/>
    <w:rsid w:val="00025065"/>
    <w:rsid w:val="000276C0"/>
    <w:rsid w:val="00031C49"/>
    <w:rsid w:val="00031F0A"/>
    <w:rsid w:val="000322CA"/>
    <w:rsid w:val="0003377D"/>
    <w:rsid w:val="0004259D"/>
    <w:rsid w:val="0004306B"/>
    <w:rsid w:val="00043F5E"/>
    <w:rsid w:val="00044E59"/>
    <w:rsid w:val="0004565E"/>
    <w:rsid w:val="00052EDC"/>
    <w:rsid w:val="00053C90"/>
    <w:rsid w:val="00055043"/>
    <w:rsid w:val="00057616"/>
    <w:rsid w:val="00060BAA"/>
    <w:rsid w:val="00063EC9"/>
    <w:rsid w:val="000721F4"/>
    <w:rsid w:val="00075259"/>
    <w:rsid w:val="00082AE9"/>
    <w:rsid w:val="000835DD"/>
    <w:rsid w:val="000839C7"/>
    <w:rsid w:val="00085EAF"/>
    <w:rsid w:val="00086C9B"/>
    <w:rsid w:val="000A4A93"/>
    <w:rsid w:val="000B023E"/>
    <w:rsid w:val="000B06FC"/>
    <w:rsid w:val="000B1E2C"/>
    <w:rsid w:val="000B4879"/>
    <w:rsid w:val="000B5C22"/>
    <w:rsid w:val="000C1E26"/>
    <w:rsid w:val="000C3A3B"/>
    <w:rsid w:val="000C49BC"/>
    <w:rsid w:val="000C7A97"/>
    <w:rsid w:val="000C7B6F"/>
    <w:rsid w:val="000D53CF"/>
    <w:rsid w:val="000E064D"/>
    <w:rsid w:val="000E3F78"/>
    <w:rsid w:val="000E4C62"/>
    <w:rsid w:val="000F3EDA"/>
    <w:rsid w:val="000F5D03"/>
    <w:rsid w:val="000F661B"/>
    <w:rsid w:val="000F6FE3"/>
    <w:rsid w:val="000F7618"/>
    <w:rsid w:val="001005F8"/>
    <w:rsid w:val="0010062A"/>
    <w:rsid w:val="001058F3"/>
    <w:rsid w:val="00106447"/>
    <w:rsid w:val="001076B2"/>
    <w:rsid w:val="001107FA"/>
    <w:rsid w:val="00110C55"/>
    <w:rsid w:val="0011413C"/>
    <w:rsid w:val="00116DB5"/>
    <w:rsid w:val="00117927"/>
    <w:rsid w:val="001200E8"/>
    <w:rsid w:val="00124F7C"/>
    <w:rsid w:val="00135E10"/>
    <w:rsid w:val="00136428"/>
    <w:rsid w:val="00137684"/>
    <w:rsid w:val="00140A48"/>
    <w:rsid w:val="001419F3"/>
    <w:rsid w:val="00142EDE"/>
    <w:rsid w:val="0014460A"/>
    <w:rsid w:val="00146171"/>
    <w:rsid w:val="00153BBD"/>
    <w:rsid w:val="00156A3A"/>
    <w:rsid w:val="00161575"/>
    <w:rsid w:val="001635DB"/>
    <w:rsid w:val="0016684C"/>
    <w:rsid w:val="00166BBC"/>
    <w:rsid w:val="00166C35"/>
    <w:rsid w:val="001712C8"/>
    <w:rsid w:val="00172966"/>
    <w:rsid w:val="001772F1"/>
    <w:rsid w:val="00180DC0"/>
    <w:rsid w:val="00182AE8"/>
    <w:rsid w:val="00184B24"/>
    <w:rsid w:val="001923FD"/>
    <w:rsid w:val="001938E3"/>
    <w:rsid w:val="00195DDE"/>
    <w:rsid w:val="001A0E30"/>
    <w:rsid w:val="001A4DAE"/>
    <w:rsid w:val="001B016D"/>
    <w:rsid w:val="001B1747"/>
    <w:rsid w:val="001B3698"/>
    <w:rsid w:val="001B453A"/>
    <w:rsid w:val="001B6CBE"/>
    <w:rsid w:val="001D0780"/>
    <w:rsid w:val="001D1E29"/>
    <w:rsid w:val="001D2595"/>
    <w:rsid w:val="001D338A"/>
    <w:rsid w:val="001D3B0E"/>
    <w:rsid w:val="001D56D2"/>
    <w:rsid w:val="001D7661"/>
    <w:rsid w:val="001D7F04"/>
    <w:rsid w:val="001E3DE1"/>
    <w:rsid w:val="001E4E6C"/>
    <w:rsid w:val="001E566E"/>
    <w:rsid w:val="001E6D7F"/>
    <w:rsid w:val="001F168D"/>
    <w:rsid w:val="001F1959"/>
    <w:rsid w:val="001F526A"/>
    <w:rsid w:val="001F5B54"/>
    <w:rsid w:val="001F5BBB"/>
    <w:rsid w:val="001F768A"/>
    <w:rsid w:val="001F7BE4"/>
    <w:rsid w:val="002034DF"/>
    <w:rsid w:val="00203922"/>
    <w:rsid w:val="00203D08"/>
    <w:rsid w:val="002058CF"/>
    <w:rsid w:val="00205B7A"/>
    <w:rsid w:val="00205E42"/>
    <w:rsid w:val="002061D2"/>
    <w:rsid w:val="002106E4"/>
    <w:rsid w:val="00211662"/>
    <w:rsid w:val="00214847"/>
    <w:rsid w:val="002155CF"/>
    <w:rsid w:val="00216339"/>
    <w:rsid w:val="00217210"/>
    <w:rsid w:val="00217441"/>
    <w:rsid w:val="002179CC"/>
    <w:rsid w:val="0022388F"/>
    <w:rsid w:val="002238C4"/>
    <w:rsid w:val="00223F6F"/>
    <w:rsid w:val="0022431A"/>
    <w:rsid w:val="0022577A"/>
    <w:rsid w:val="002275F8"/>
    <w:rsid w:val="00231032"/>
    <w:rsid w:val="00235BC7"/>
    <w:rsid w:val="00245B1D"/>
    <w:rsid w:val="00253D82"/>
    <w:rsid w:val="0025524C"/>
    <w:rsid w:val="002555FB"/>
    <w:rsid w:val="00264AD9"/>
    <w:rsid w:val="00264F5F"/>
    <w:rsid w:val="00276166"/>
    <w:rsid w:val="002835DD"/>
    <w:rsid w:val="00283976"/>
    <w:rsid w:val="00285555"/>
    <w:rsid w:val="002857EB"/>
    <w:rsid w:val="00290342"/>
    <w:rsid w:val="002909F2"/>
    <w:rsid w:val="0029446F"/>
    <w:rsid w:val="0029595D"/>
    <w:rsid w:val="002972C3"/>
    <w:rsid w:val="002A159E"/>
    <w:rsid w:val="002A1B4A"/>
    <w:rsid w:val="002A2441"/>
    <w:rsid w:val="002A3D16"/>
    <w:rsid w:val="002A6C75"/>
    <w:rsid w:val="002B7EB7"/>
    <w:rsid w:val="002C1F65"/>
    <w:rsid w:val="002C69DF"/>
    <w:rsid w:val="002D1A84"/>
    <w:rsid w:val="002D3B24"/>
    <w:rsid w:val="002D66A9"/>
    <w:rsid w:val="002D7D88"/>
    <w:rsid w:val="002E2C8E"/>
    <w:rsid w:val="002E77CF"/>
    <w:rsid w:val="002F000D"/>
    <w:rsid w:val="002F3132"/>
    <w:rsid w:val="002F3DDA"/>
    <w:rsid w:val="003007D0"/>
    <w:rsid w:val="00303550"/>
    <w:rsid w:val="00305EF5"/>
    <w:rsid w:val="00313EAF"/>
    <w:rsid w:val="003145B8"/>
    <w:rsid w:val="00320FF9"/>
    <w:rsid w:val="00321FE0"/>
    <w:rsid w:val="00323297"/>
    <w:rsid w:val="003246F1"/>
    <w:rsid w:val="00326035"/>
    <w:rsid w:val="003275A0"/>
    <w:rsid w:val="00331481"/>
    <w:rsid w:val="00331A3E"/>
    <w:rsid w:val="003331B9"/>
    <w:rsid w:val="00334270"/>
    <w:rsid w:val="00340030"/>
    <w:rsid w:val="00340A5F"/>
    <w:rsid w:val="00341D54"/>
    <w:rsid w:val="0034292A"/>
    <w:rsid w:val="00343F5B"/>
    <w:rsid w:val="00344E0A"/>
    <w:rsid w:val="003464C0"/>
    <w:rsid w:val="0035008A"/>
    <w:rsid w:val="00351786"/>
    <w:rsid w:val="00351D05"/>
    <w:rsid w:val="00352AFE"/>
    <w:rsid w:val="003534C0"/>
    <w:rsid w:val="00355C24"/>
    <w:rsid w:val="003561C1"/>
    <w:rsid w:val="00362835"/>
    <w:rsid w:val="00364AA8"/>
    <w:rsid w:val="0036523A"/>
    <w:rsid w:val="0037040E"/>
    <w:rsid w:val="00370C21"/>
    <w:rsid w:val="00371930"/>
    <w:rsid w:val="00384C75"/>
    <w:rsid w:val="00385E7A"/>
    <w:rsid w:val="00391476"/>
    <w:rsid w:val="00391EE2"/>
    <w:rsid w:val="00394280"/>
    <w:rsid w:val="00396757"/>
    <w:rsid w:val="00396A06"/>
    <w:rsid w:val="00397FB2"/>
    <w:rsid w:val="003A12C2"/>
    <w:rsid w:val="003A350F"/>
    <w:rsid w:val="003A387D"/>
    <w:rsid w:val="003A52DD"/>
    <w:rsid w:val="003A571E"/>
    <w:rsid w:val="003A6373"/>
    <w:rsid w:val="003A647D"/>
    <w:rsid w:val="003B34C8"/>
    <w:rsid w:val="003B5A24"/>
    <w:rsid w:val="003B5F33"/>
    <w:rsid w:val="003C1077"/>
    <w:rsid w:val="003C1D9F"/>
    <w:rsid w:val="003C6748"/>
    <w:rsid w:val="003C7A69"/>
    <w:rsid w:val="003D2832"/>
    <w:rsid w:val="003D366E"/>
    <w:rsid w:val="003D3D47"/>
    <w:rsid w:val="003D52E1"/>
    <w:rsid w:val="003D7D1D"/>
    <w:rsid w:val="003D7DEA"/>
    <w:rsid w:val="003E1E15"/>
    <w:rsid w:val="003E2931"/>
    <w:rsid w:val="003F2102"/>
    <w:rsid w:val="003F3814"/>
    <w:rsid w:val="003F4A2F"/>
    <w:rsid w:val="003F4CAE"/>
    <w:rsid w:val="00400B85"/>
    <w:rsid w:val="00402E36"/>
    <w:rsid w:val="0040328F"/>
    <w:rsid w:val="004060E3"/>
    <w:rsid w:val="00407B2F"/>
    <w:rsid w:val="004138A8"/>
    <w:rsid w:val="00414013"/>
    <w:rsid w:val="00414867"/>
    <w:rsid w:val="00422162"/>
    <w:rsid w:val="0042450E"/>
    <w:rsid w:val="00424ABF"/>
    <w:rsid w:val="00426331"/>
    <w:rsid w:val="00430DA7"/>
    <w:rsid w:val="00433187"/>
    <w:rsid w:val="0043323D"/>
    <w:rsid w:val="004428C1"/>
    <w:rsid w:val="00443CE5"/>
    <w:rsid w:val="00444C04"/>
    <w:rsid w:val="0044647A"/>
    <w:rsid w:val="00450EBC"/>
    <w:rsid w:val="00452F5E"/>
    <w:rsid w:val="00454F53"/>
    <w:rsid w:val="0045586B"/>
    <w:rsid w:val="00460A50"/>
    <w:rsid w:val="00462151"/>
    <w:rsid w:val="00463B57"/>
    <w:rsid w:val="00464209"/>
    <w:rsid w:val="004671C4"/>
    <w:rsid w:val="00467D78"/>
    <w:rsid w:val="0047282D"/>
    <w:rsid w:val="00472949"/>
    <w:rsid w:val="00474100"/>
    <w:rsid w:val="0047519B"/>
    <w:rsid w:val="00476216"/>
    <w:rsid w:val="00476BF4"/>
    <w:rsid w:val="004800C3"/>
    <w:rsid w:val="004811F1"/>
    <w:rsid w:val="00481BD9"/>
    <w:rsid w:val="0048291A"/>
    <w:rsid w:val="00490196"/>
    <w:rsid w:val="00490844"/>
    <w:rsid w:val="004918B3"/>
    <w:rsid w:val="00492126"/>
    <w:rsid w:val="0049728C"/>
    <w:rsid w:val="00497581"/>
    <w:rsid w:val="004A33C2"/>
    <w:rsid w:val="004A59AE"/>
    <w:rsid w:val="004A5B50"/>
    <w:rsid w:val="004A6D3E"/>
    <w:rsid w:val="004C3E90"/>
    <w:rsid w:val="004C409B"/>
    <w:rsid w:val="004C67A4"/>
    <w:rsid w:val="004C71AB"/>
    <w:rsid w:val="004C7D25"/>
    <w:rsid w:val="004D0858"/>
    <w:rsid w:val="004D0C45"/>
    <w:rsid w:val="004D1A48"/>
    <w:rsid w:val="004D1D3B"/>
    <w:rsid w:val="004D2AB0"/>
    <w:rsid w:val="004D642D"/>
    <w:rsid w:val="004E10CF"/>
    <w:rsid w:val="004E3DB5"/>
    <w:rsid w:val="004E46C5"/>
    <w:rsid w:val="004E6556"/>
    <w:rsid w:val="004F038F"/>
    <w:rsid w:val="004F04B2"/>
    <w:rsid w:val="004F26E7"/>
    <w:rsid w:val="004F32C4"/>
    <w:rsid w:val="004F3B79"/>
    <w:rsid w:val="004F728D"/>
    <w:rsid w:val="004F7C5F"/>
    <w:rsid w:val="00501FCB"/>
    <w:rsid w:val="00504EDA"/>
    <w:rsid w:val="00510706"/>
    <w:rsid w:val="005109C3"/>
    <w:rsid w:val="005125A1"/>
    <w:rsid w:val="00513334"/>
    <w:rsid w:val="00513D6D"/>
    <w:rsid w:val="0051468F"/>
    <w:rsid w:val="00525E2F"/>
    <w:rsid w:val="005262AE"/>
    <w:rsid w:val="00530C2A"/>
    <w:rsid w:val="00530DF1"/>
    <w:rsid w:val="005313F4"/>
    <w:rsid w:val="00532259"/>
    <w:rsid w:val="00535338"/>
    <w:rsid w:val="00543F67"/>
    <w:rsid w:val="00544AA5"/>
    <w:rsid w:val="00546B4F"/>
    <w:rsid w:val="00551A94"/>
    <w:rsid w:val="00556D12"/>
    <w:rsid w:val="00561100"/>
    <w:rsid w:val="005625F3"/>
    <w:rsid w:val="00562E0B"/>
    <w:rsid w:val="005674F6"/>
    <w:rsid w:val="00570340"/>
    <w:rsid w:val="00573D0C"/>
    <w:rsid w:val="00576085"/>
    <w:rsid w:val="00577072"/>
    <w:rsid w:val="00580895"/>
    <w:rsid w:val="00582735"/>
    <w:rsid w:val="00584206"/>
    <w:rsid w:val="00585AC4"/>
    <w:rsid w:val="00591694"/>
    <w:rsid w:val="00596001"/>
    <w:rsid w:val="00596677"/>
    <w:rsid w:val="005970E5"/>
    <w:rsid w:val="00597403"/>
    <w:rsid w:val="005A0396"/>
    <w:rsid w:val="005A3641"/>
    <w:rsid w:val="005A3F2F"/>
    <w:rsid w:val="005A4185"/>
    <w:rsid w:val="005A73EB"/>
    <w:rsid w:val="005B02BA"/>
    <w:rsid w:val="005B05C0"/>
    <w:rsid w:val="005B11F7"/>
    <w:rsid w:val="005B60D4"/>
    <w:rsid w:val="005B6258"/>
    <w:rsid w:val="005C036F"/>
    <w:rsid w:val="005C1225"/>
    <w:rsid w:val="005C1A12"/>
    <w:rsid w:val="005C6DE3"/>
    <w:rsid w:val="005D079E"/>
    <w:rsid w:val="005D2625"/>
    <w:rsid w:val="005D42E5"/>
    <w:rsid w:val="005D4FE1"/>
    <w:rsid w:val="005D74A2"/>
    <w:rsid w:val="005E14F9"/>
    <w:rsid w:val="005E4B8E"/>
    <w:rsid w:val="005E4EDE"/>
    <w:rsid w:val="005E706B"/>
    <w:rsid w:val="005F308C"/>
    <w:rsid w:val="005F36AE"/>
    <w:rsid w:val="005F44B1"/>
    <w:rsid w:val="005F4FD7"/>
    <w:rsid w:val="005F699F"/>
    <w:rsid w:val="005F6CD9"/>
    <w:rsid w:val="00601199"/>
    <w:rsid w:val="00601680"/>
    <w:rsid w:val="006017D2"/>
    <w:rsid w:val="00602E5C"/>
    <w:rsid w:val="006036FA"/>
    <w:rsid w:val="00607768"/>
    <w:rsid w:val="00612EED"/>
    <w:rsid w:val="00620556"/>
    <w:rsid w:val="006230EA"/>
    <w:rsid w:val="00623A82"/>
    <w:rsid w:val="0062527C"/>
    <w:rsid w:val="0063191C"/>
    <w:rsid w:val="00635018"/>
    <w:rsid w:val="006355DA"/>
    <w:rsid w:val="006362A8"/>
    <w:rsid w:val="00640FA0"/>
    <w:rsid w:val="006414C4"/>
    <w:rsid w:val="00641B3E"/>
    <w:rsid w:val="0064326C"/>
    <w:rsid w:val="00643CA1"/>
    <w:rsid w:val="00646460"/>
    <w:rsid w:val="00647AF6"/>
    <w:rsid w:val="006519A7"/>
    <w:rsid w:val="006522B7"/>
    <w:rsid w:val="00656082"/>
    <w:rsid w:val="00657056"/>
    <w:rsid w:val="00663821"/>
    <w:rsid w:val="00666A6A"/>
    <w:rsid w:val="00667643"/>
    <w:rsid w:val="0067048F"/>
    <w:rsid w:val="006710AB"/>
    <w:rsid w:val="00674201"/>
    <w:rsid w:val="006811FC"/>
    <w:rsid w:val="00683409"/>
    <w:rsid w:val="00691052"/>
    <w:rsid w:val="00692B19"/>
    <w:rsid w:val="006936A8"/>
    <w:rsid w:val="006A03F4"/>
    <w:rsid w:val="006A084A"/>
    <w:rsid w:val="006A4857"/>
    <w:rsid w:val="006A68FD"/>
    <w:rsid w:val="006A741E"/>
    <w:rsid w:val="006B00D3"/>
    <w:rsid w:val="006B0DEB"/>
    <w:rsid w:val="006B193A"/>
    <w:rsid w:val="006C0706"/>
    <w:rsid w:val="006C201A"/>
    <w:rsid w:val="006C32BB"/>
    <w:rsid w:val="006C6D48"/>
    <w:rsid w:val="006D0737"/>
    <w:rsid w:val="006D51E6"/>
    <w:rsid w:val="006D7F5C"/>
    <w:rsid w:val="006E3DB1"/>
    <w:rsid w:val="006E6D73"/>
    <w:rsid w:val="006F0E9E"/>
    <w:rsid w:val="006F4898"/>
    <w:rsid w:val="006F4A02"/>
    <w:rsid w:val="007062E0"/>
    <w:rsid w:val="007067A6"/>
    <w:rsid w:val="007102EA"/>
    <w:rsid w:val="0071557B"/>
    <w:rsid w:val="007171D7"/>
    <w:rsid w:val="00722477"/>
    <w:rsid w:val="00726C37"/>
    <w:rsid w:val="00727F59"/>
    <w:rsid w:val="007311BE"/>
    <w:rsid w:val="007311DF"/>
    <w:rsid w:val="00731CC6"/>
    <w:rsid w:val="007339DC"/>
    <w:rsid w:val="00734677"/>
    <w:rsid w:val="00735B28"/>
    <w:rsid w:val="0073713B"/>
    <w:rsid w:val="007409CE"/>
    <w:rsid w:val="0074574B"/>
    <w:rsid w:val="007516A6"/>
    <w:rsid w:val="00753EFF"/>
    <w:rsid w:val="00755F80"/>
    <w:rsid w:val="0076441E"/>
    <w:rsid w:val="007648E2"/>
    <w:rsid w:val="00764912"/>
    <w:rsid w:val="0076647F"/>
    <w:rsid w:val="00766892"/>
    <w:rsid w:val="007678ED"/>
    <w:rsid w:val="00770B11"/>
    <w:rsid w:val="00770F6C"/>
    <w:rsid w:val="007716C5"/>
    <w:rsid w:val="0077225B"/>
    <w:rsid w:val="00774558"/>
    <w:rsid w:val="00776C9F"/>
    <w:rsid w:val="00784B09"/>
    <w:rsid w:val="00787151"/>
    <w:rsid w:val="00790241"/>
    <w:rsid w:val="0079552E"/>
    <w:rsid w:val="0079590A"/>
    <w:rsid w:val="007971A0"/>
    <w:rsid w:val="007A00C6"/>
    <w:rsid w:val="007A1BC3"/>
    <w:rsid w:val="007A21CB"/>
    <w:rsid w:val="007A2B91"/>
    <w:rsid w:val="007A3437"/>
    <w:rsid w:val="007A4AFF"/>
    <w:rsid w:val="007A5168"/>
    <w:rsid w:val="007A5AED"/>
    <w:rsid w:val="007A7869"/>
    <w:rsid w:val="007B2869"/>
    <w:rsid w:val="007B2D05"/>
    <w:rsid w:val="007C4085"/>
    <w:rsid w:val="007D1C73"/>
    <w:rsid w:val="007D3FB9"/>
    <w:rsid w:val="007D570C"/>
    <w:rsid w:val="007D5BCF"/>
    <w:rsid w:val="007E1764"/>
    <w:rsid w:val="007E5784"/>
    <w:rsid w:val="007F0FA2"/>
    <w:rsid w:val="007F431B"/>
    <w:rsid w:val="007F5E15"/>
    <w:rsid w:val="008035E9"/>
    <w:rsid w:val="00807712"/>
    <w:rsid w:val="008078F0"/>
    <w:rsid w:val="00813F8D"/>
    <w:rsid w:val="0082776F"/>
    <w:rsid w:val="00830662"/>
    <w:rsid w:val="00836BE1"/>
    <w:rsid w:val="0083723D"/>
    <w:rsid w:val="00837489"/>
    <w:rsid w:val="008378C1"/>
    <w:rsid w:val="00837E2B"/>
    <w:rsid w:val="008408D5"/>
    <w:rsid w:val="00850113"/>
    <w:rsid w:val="0085243A"/>
    <w:rsid w:val="00853C78"/>
    <w:rsid w:val="00856C61"/>
    <w:rsid w:val="00861FE6"/>
    <w:rsid w:val="0086520F"/>
    <w:rsid w:val="008653B1"/>
    <w:rsid w:val="00867E02"/>
    <w:rsid w:val="00871137"/>
    <w:rsid w:val="00872733"/>
    <w:rsid w:val="00876AA2"/>
    <w:rsid w:val="00884F72"/>
    <w:rsid w:val="0088550E"/>
    <w:rsid w:val="00891241"/>
    <w:rsid w:val="00894345"/>
    <w:rsid w:val="00896411"/>
    <w:rsid w:val="00896981"/>
    <w:rsid w:val="00896F1F"/>
    <w:rsid w:val="008A37EE"/>
    <w:rsid w:val="008A4969"/>
    <w:rsid w:val="008A53A6"/>
    <w:rsid w:val="008B09C7"/>
    <w:rsid w:val="008B5263"/>
    <w:rsid w:val="008C5C58"/>
    <w:rsid w:val="008C6C7F"/>
    <w:rsid w:val="008C7B3F"/>
    <w:rsid w:val="008D07BB"/>
    <w:rsid w:val="008D0920"/>
    <w:rsid w:val="008D43BF"/>
    <w:rsid w:val="008D577F"/>
    <w:rsid w:val="008E0DCB"/>
    <w:rsid w:val="008E270B"/>
    <w:rsid w:val="008F28B4"/>
    <w:rsid w:val="009007A1"/>
    <w:rsid w:val="00903551"/>
    <w:rsid w:val="009043B3"/>
    <w:rsid w:val="0091684B"/>
    <w:rsid w:val="00920325"/>
    <w:rsid w:val="009210CE"/>
    <w:rsid w:val="00921E77"/>
    <w:rsid w:val="009319DC"/>
    <w:rsid w:val="00934299"/>
    <w:rsid w:val="00936EFB"/>
    <w:rsid w:val="0093793C"/>
    <w:rsid w:val="00937DA6"/>
    <w:rsid w:val="009410E0"/>
    <w:rsid w:val="00941EDE"/>
    <w:rsid w:val="00942425"/>
    <w:rsid w:val="00946181"/>
    <w:rsid w:val="009519EC"/>
    <w:rsid w:val="0095405D"/>
    <w:rsid w:val="00954704"/>
    <w:rsid w:val="00955BE1"/>
    <w:rsid w:val="00957C73"/>
    <w:rsid w:val="00960EA9"/>
    <w:rsid w:val="00961115"/>
    <w:rsid w:val="00961CAF"/>
    <w:rsid w:val="009622DD"/>
    <w:rsid w:val="00964905"/>
    <w:rsid w:val="00965680"/>
    <w:rsid w:val="00966B77"/>
    <w:rsid w:val="00972302"/>
    <w:rsid w:val="009729C8"/>
    <w:rsid w:val="009734CE"/>
    <w:rsid w:val="009761D7"/>
    <w:rsid w:val="0098090C"/>
    <w:rsid w:val="00980E0F"/>
    <w:rsid w:val="009813F7"/>
    <w:rsid w:val="00982DF4"/>
    <w:rsid w:val="00984CB6"/>
    <w:rsid w:val="009906D1"/>
    <w:rsid w:val="0099543B"/>
    <w:rsid w:val="009A2B58"/>
    <w:rsid w:val="009A3007"/>
    <w:rsid w:val="009A38ED"/>
    <w:rsid w:val="009A5580"/>
    <w:rsid w:val="009A55F2"/>
    <w:rsid w:val="009A76F6"/>
    <w:rsid w:val="009A7BD6"/>
    <w:rsid w:val="009B2E5F"/>
    <w:rsid w:val="009B3918"/>
    <w:rsid w:val="009B3943"/>
    <w:rsid w:val="009B49AC"/>
    <w:rsid w:val="009B576A"/>
    <w:rsid w:val="009B6D53"/>
    <w:rsid w:val="009B74D4"/>
    <w:rsid w:val="009C0051"/>
    <w:rsid w:val="009C093B"/>
    <w:rsid w:val="009C35E8"/>
    <w:rsid w:val="009D3AA0"/>
    <w:rsid w:val="009E1848"/>
    <w:rsid w:val="009E76D7"/>
    <w:rsid w:val="009F13E2"/>
    <w:rsid w:val="009F1823"/>
    <w:rsid w:val="009F67AC"/>
    <w:rsid w:val="00A01D7A"/>
    <w:rsid w:val="00A0340A"/>
    <w:rsid w:val="00A0373A"/>
    <w:rsid w:val="00A048AE"/>
    <w:rsid w:val="00A074BD"/>
    <w:rsid w:val="00A11956"/>
    <w:rsid w:val="00A2530E"/>
    <w:rsid w:val="00A26D6B"/>
    <w:rsid w:val="00A26F01"/>
    <w:rsid w:val="00A27F95"/>
    <w:rsid w:val="00A31252"/>
    <w:rsid w:val="00A320AE"/>
    <w:rsid w:val="00A3217E"/>
    <w:rsid w:val="00A351FE"/>
    <w:rsid w:val="00A36909"/>
    <w:rsid w:val="00A42103"/>
    <w:rsid w:val="00A429F9"/>
    <w:rsid w:val="00A45CD5"/>
    <w:rsid w:val="00A45E6D"/>
    <w:rsid w:val="00A511D9"/>
    <w:rsid w:val="00A52A76"/>
    <w:rsid w:val="00A533BD"/>
    <w:rsid w:val="00A55676"/>
    <w:rsid w:val="00A62FAB"/>
    <w:rsid w:val="00A66068"/>
    <w:rsid w:val="00A6688C"/>
    <w:rsid w:val="00A70F8F"/>
    <w:rsid w:val="00A72C12"/>
    <w:rsid w:val="00A776FC"/>
    <w:rsid w:val="00A80205"/>
    <w:rsid w:val="00A81DE0"/>
    <w:rsid w:val="00A82825"/>
    <w:rsid w:val="00A86958"/>
    <w:rsid w:val="00A96FBF"/>
    <w:rsid w:val="00AA10F9"/>
    <w:rsid w:val="00AA1A59"/>
    <w:rsid w:val="00AA70E3"/>
    <w:rsid w:val="00AB2F4E"/>
    <w:rsid w:val="00AB7AAD"/>
    <w:rsid w:val="00AC1D9A"/>
    <w:rsid w:val="00AC219D"/>
    <w:rsid w:val="00AC2948"/>
    <w:rsid w:val="00AC3026"/>
    <w:rsid w:val="00AC39DD"/>
    <w:rsid w:val="00AC45CE"/>
    <w:rsid w:val="00AC61A8"/>
    <w:rsid w:val="00AC705E"/>
    <w:rsid w:val="00AC75F5"/>
    <w:rsid w:val="00AD0341"/>
    <w:rsid w:val="00AD0456"/>
    <w:rsid w:val="00AD065F"/>
    <w:rsid w:val="00AD329B"/>
    <w:rsid w:val="00AE0712"/>
    <w:rsid w:val="00AE1D7D"/>
    <w:rsid w:val="00AE4B1D"/>
    <w:rsid w:val="00AE556C"/>
    <w:rsid w:val="00AE6036"/>
    <w:rsid w:val="00AE6E63"/>
    <w:rsid w:val="00AF06D4"/>
    <w:rsid w:val="00AF6731"/>
    <w:rsid w:val="00B0039E"/>
    <w:rsid w:val="00B0045B"/>
    <w:rsid w:val="00B00AB0"/>
    <w:rsid w:val="00B01916"/>
    <w:rsid w:val="00B06E9D"/>
    <w:rsid w:val="00B07202"/>
    <w:rsid w:val="00B15F71"/>
    <w:rsid w:val="00B20D02"/>
    <w:rsid w:val="00B21E19"/>
    <w:rsid w:val="00B22A2D"/>
    <w:rsid w:val="00B24E35"/>
    <w:rsid w:val="00B2506A"/>
    <w:rsid w:val="00B250EF"/>
    <w:rsid w:val="00B265B8"/>
    <w:rsid w:val="00B2734D"/>
    <w:rsid w:val="00B273B6"/>
    <w:rsid w:val="00B30EDE"/>
    <w:rsid w:val="00B34133"/>
    <w:rsid w:val="00B3523E"/>
    <w:rsid w:val="00B35BFB"/>
    <w:rsid w:val="00B4462C"/>
    <w:rsid w:val="00B51A1D"/>
    <w:rsid w:val="00B54F54"/>
    <w:rsid w:val="00B6090F"/>
    <w:rsid w:val="00B60EE8"/>
    <w:rsid w:val="00B622CA"/>
    <w:rsid w:val="00B67028"/>
    <w:rsid w:val="00B70006"/>
    <w:rsid w:val="00B7150E"/>
    <w:rsid w:val="00B74AEA"/>
    <w:rsid w:val="00B75415"/>
    <w:rsid w:val="00B76C79"/>
    <w:rsid w:val="00B775AA"/>
    <w:rsid w:val="00B77D6B"/>
    <w:rsid w:val="00B802DD"/>
    <w:rsid w:val="00B815D4"/>
    <w:rsid w:val="00B825FF"/>
    <w:rsid w:val="00B82D35"/>
    <w:rsid w:val="00B83C66"/>
    <w:rsid w:val="00B85645"/>
    <w:rsid w:val="00B85BC2"/>
    <w:rsid w:val="00B95592"/>
    <w:rsid w:val="00BA0579"/>
    <w:rsid w:val="00BA3E5B"/>
    <w:rsid w:val="00BA5740"/>
    <w:rsid w:val="00BA5D14"/>
    <w:rsid w:val="00BA5F58"/>
    <w:rsid w:val="00BA6F6B"/>
    <w:rsid w:val="00BA76DA"/>
    <w:rsid w:val="00BB1881"/>
    <w:rsid w:val="00BB5204"/>
    <w:rsid w:val="00BC3ACC"/>
    <w:rsid w:val="00BC4338"/>
    <w:rsid w:val="00BC5BA9"/>
    <w:rsid w:val="00BD2438"/>
    <w:rsid w:val="00BD3A76"/>
    <w:rsid w:val="00BD6ED8"/>
    <w:rsid w:val="00BD74B7"/>
    <w:rsid w:val="00BE2AED"/>
    <w:rsid w:val="00BE5CC9"/>
    <w:rsid w:val="00BF0703"/>
    <w:rsid w:val="00BF22D6"/>
    <w:rsid w:val="00BF4584"/>
    <w:rsid w:val="00C037A0"/>
    <w:rsid w:val="00C0519E"/>
    <w:rsid w:val="00C10EE6"/>
    <w:rsid w:val="00C125EE"/>
    <w:rsid w:val="00C127F2"/>
    <w:rsid w:val="00C259C4"/>
    <w:rsid w:val="00C25FDC"/>
    <w:rsid w:val="00C3101D"/>
    <w:rsid w:val="00C314F6"/>
    <w:rsid w:val="00C40124"/>
    <w:rsid w:val="00C41A2D"/>
    <w:rsid w:val="00C47DE7"/>
    <w:rsid w:val="00C53619"/>
    <w:rsid w:val="00C54BB0"/>
    <w:rsid w:val="00C54E2E"/>
    <w:rsid w:val="00C62F67"/>
    <w:rsid w:val="00C66DFD"/>
    <w:rsid w:val="00C76821"/>
    <w:rsid w:val="00C77345"/>
    <w:rsid w:val="00C80739"/>
    <w:rsid w:val="00C81261"/>
    <w:rsid w:val="00C8243B"/>
    <w:rsid w:val="00C82973"/>
    <w:rsid w:val="00C83B91"/>
    <w:rsid w:val="00C862EB"/>
    <w:rsid w:val="00C91C10"/>
    <w:rsid w:val="00C928CB"/>
    <w:rsid w:val="00CA0327"/>
    <w:rsid w:val="00CA2DF1"/>
    <w:rsid w:val="00CA68D2"/>
    <w:rsid w:val="00CB42BE"/>
    <w:rsid w:val="00CB4971"/>
    <w:rsid w:val="00CB4D0D"/>
    <w:rsid w:val="00CB6A8B"/>
    <w:rsid w:val="00CC01B5"/>
    <w:rsid w:val="00CC482E"/>
    <w:rsid w:val="00CC628E"/>
    <w:rsid w:val="00CC6311"/>
    <w:rsid w:val="00CD079D"/>
    <w:rsid w:val="00CD362E"/>
    <w:rsid w:val="00CD5087"/>
    <w:rsid w:val="00CE2690"/>
    <w:rsid w:val="00CE7DF9"/>
    <w:rsid w:val="00CF24D2"/>
    <w:rsid w:val="00CF2A31"/>
    <w:rsid w:val="00CF5305"/>
    <w:rsid w:val="00CF6BB0"/>
    <w:rsid w:val="00D030D7"/>
    <w:rsid w:val="00D12934"/>
    <w:rsid w:val="00D14D6B"/>
    <w:rsid w:val="00D2069D"/>
    <w:rsid w:val="00D21260"/>
    <w:rsid w:val="00D2644E"/>
    <w:rsid w:val="00D27B7B"/>
    <w:rsid w:val="00D3097E"/>
    <w:rsid w:val="00D316A9"/>
    <w:rsid w:val="00D34509"/>
    <w:rsid w:val="00D35F73"/>
    <w:rsid w:val="00D405C9"/>
    <w:rsid w:val="00D437A1"/>
    <w:rsid w:val="00D45C19"/>
    <w:rsid w:val="00D468BF"/>
    <w:rsid w:val="00D50CCE"/>
    <w:rsid w:val="00D5147C"/>
    <w:rsid w:val="00D5420C"/>
    <w:rsid w:val="00D60C7D"/>
    <w:rsid w:val="00D61DFA"/>
    <w:rsid w:val="00D635E5"/>
    <w:rsid w:val="00D64B2B"/>
    <w:rsid w:val="00D64BF4"/>
    <w:rsid w:val="00D656E8"/>
    <w:rsid w:val="00D728DC"/>
    <w:rsid w:val="00D76083"/>
    <w:rsid w:val="00D81316"/>
    <w:rsid w:val="00D8317D"/>
    <w:rsid w:val="00D835E9"/>
    <w:rsid w:val="00D846A3"/>
    <w:rsid w:val="00D87846"/>
    <w:rsid w:val="00D901C5"/>
    <w:rsid w:val="00D91A91"/>
    <w:rsid w:val="00DA293F"/>
    <w:rsid w:val="00DA54B8"/>
    <w:rsid w:val="00DA5EC5"/>
    <w:rsid w:val="00DB0BAC"/>
    <w:rsid w:val="00DB163F"/>
    <w:rsid w:val="00DB4769"/>
    <w:rsid w:val="00DB6511"/>
    <w:rsid w:val="00DC1340"/>
    <w:rsid w:val="00DC3F46"/>
    <w:rsid w:val="00DC5899"/>
    <w:rsid w:val="00DC5BCD"/>
    <w:rsid w:val="00DC5CD2"/>
    <w:rsid w:val="00DD3F9B"/>
    <w:rsid w:val="00DD5539"/>
    <w:rsid w:val="00DD6036"/>
    <w:rsid w:val="00DD66D3"/>
    <w:rsid w:val="00DD6926"/>
    <w:rsid w:val="00DD6989"/>
    <w:rsid w:val="00DD79BF"/>
    <w:rsid w:val="00DE1517"/>
    <w:rsid w:val="00DE390C"/>
    <w:rsid w:val="00DE4F5C"/>
    <w:rsid w:val="00DE556F"/>
    <w:rsid w:val="00DE76D8"/>
    <w:rsid w:val="00DF2464"/>
    <w:rsid w:val="00DF491F"/>
    <w:rsid w:val="00DF4D93"/>
    <w:rsid w:val="00E00358"/>
    <w:rsid w:val="00E005B8"/>
    <w:rsid w:val="00E067BC"/>
    <w:rsid w:val="00E11D65"/>
    <w:rsid w:val="00E11EC8"/>
    <w:rsid w:val="00E14058"/>
    <w:rsid w:val="00E14379"/>
    <w:rsid w:val="00E1476E"/>
    <w:rsid w:val="00E1792A"/>
    <w:rsid w:val="00E17B7D"/>
    <w:rsid w:val="00E2464C"/>
    <w:rsid w:val="00E26D6C"/>
    <w:rsid w:val="00E3228E"/>
    <w:rsid w:val="00E34092"/>
    <w:rsid w:val="00E34E09"/>
    <w:rsid w:val="00E4196F"/>
    <w:rsid w:val="00E442E8"/>
    <w:rsid w:val="00E45928"/>
    <w:rsid w:val="00E4682D"/>
    <w:rsid w:val="00E4712A"/>
    <w:rsid w:val="00E475EC"/>
    <w:rsid w:val="00E51400"/>
    <w:rsid w:val="00E52523"/>
    <w:rsid w:val="00E5440D"/>
    <w:rsid w:val="00E559EF"/>
    <w:rsid w:val="00E57D2F"/>
    <w:rsid w:val="00E633FF"/>
    <w:rsid w:val="00E64758"/>
    <w:rsid w:val="00E655CF"/>
    <w:rsid w:val="00E67089"/>
    <w:rsid w:val="00E72BAE"/>
    <w:rsid w:val="00E73E1A"/>
    <w:rsid w:val="00E77F85"/>
    <w:rsid w:val="00E8060B"/>
    <w:rsid w:val="00E80C07"/>
    <w:rsid w:val="00E816DE"/>
    <w:rsid w:val="00E85598"/>
    <w:rsid w:val="00E91D8E"/>
    <w:rsid w:val="00E9211D"/>
    <w:rsid w:val="00E926FB"/>
    <w:rsid w:val="00E97399"/>
    <w:rsid w:val="00E97592"/>
    <w:rsid w:val="00EA00F2"/>
    <w:rsid w:val="00EA14A5"/>
    <w:rsid w:val="00EA4167"/>
    <w:rsid w:val="00EA51ED"/>
    <w:rsid w:val="00EA603C"/>
    <w:rsid w:val="00EB3AD3"/>
    <w:rsid w:val="00EB572B"/>
    <w:rsid w:val="00EB7220"/>
    <w:rsid w:val="00EB74A6"/>
    <w:rsid w:val="00EC4330"/>
    <w:rsid w:val="00EC6BE4"/>
    <w:rsid w:val="00EC76DD"/>
    <w:rsid w:val="00ED3560"/>
    <w:rsid w:val="00ED37AE"/>
    <w:rsid w:val="00ED569F"/>
    <w:rsid w:val="00EE0039"/>
    <w:rsid w:val="00EE0EEE"/>
    <w:rsid w:val="00EE17F0"/>
    <w:rsid w:val="00EE2F68"/>
    <w:rsid w:val="00EE49A9"/>
    <w:rsid w:val="00EE5A9E"/>
    <w:rsid w:val="00EF2B60"/>
    <w:rsid w:val="00EF2F54"/>
    <w:rsid w:val="00EF4230"/>
    <w:rsid w:val="00EF773F"/>
    <w:rsid w:val="00EF7ED6"/>
    <w:rsid w:val="00F002E3"/>
    <w:rsid w:val="00F02228"/>
    <w:rsid w:val="00F02E4B"/>
    <w:rsid w:val="00F05C99"/>
    <w:rsid w:val="00F068E0"/>
    <w:rsid w:val="00F10249"/>
    <w:rsid w:val="00F125D7"/>
    <w:rsid w:val="00F13FAB"/>
    <w:rsid w:val="00F157B4"/>
    <w:rsid w:val="00F16937"/>
    <w:rsid w:val="00F242E3"/>
    <w:rsid w:val="00F25EAE"/>
    <w:rsid w:val="00F2742C"/>
    <w:rsid w:val="00F4241B"/>
    <w:rsid w:val="00F430F7"/>
    <w:rsid w:val="00F44CA1"/>
    <w:rsid w:val="00F45E18"/>
    <w:rsid w:val="00F5061F"/>
    <w:rsid w:val="00F5684D"/>
    <w:rsid w:val="00F571B5"/>
    <w:rsid w:val="00F576CC"/>
    <w:rsid w:val="00F579B5"/>
    <w:rsid w:val="00F636EE"/>
    <w:rsid w:val="00F63923"/>
    <w:rsid w:val="00F64A7B"/>
    <w:rsid w:val="00F663F2"/>
    <w:rsid w:val="00F726AB"/>
    <w:rsid w:val="00F72DD6"/>
    <w:rsid w:val="00F753CC"/>
    <w:rsid w:val="00F7561F"/>
    <w:rsid w:val="00F76759"/>
    <w:rsid w:val="00F81822"/>
    <w:rsid w:val="00F8207C"/>
    <w:rsid w:val="00F83343"/>
    <w:rsid w:val="00F83E0B"/>
    <w:rsid w:val="00F841F7"/>
    <w:rsid w:val="00F84578"/>
    <w:rsid w:val="00F87BB7"/>
    <w:rsid w:val="00F93393"/>
    <w:rsid w:val="00FA12EC"/>
    <w:rsid w:val="00FA35F7"/>
    <w:rsid w:val="00FA4507"/>
    <w:rsid w:val="00FA6DD5"/>
    <w:rsid w:val="00FA6FED"/>
    <w:rsid w:val="00FA7830"/>
    <w:rsid w:val="00FB1E85"/>
    <w:rsid w:val="00FB2773"/>
    <w:rsid w:val="00FC0081"/>
    <w:rsid w:val="00FC3678"/>
    <w:rsid w:val="00FC4C17"/>
    <w:rsid w:val="00FC7731"/>
    <w:rsid w:val="00FD1A29"/>
    <w:rsid w:val="00FD2B95"/>
    <w:rsid w:val="00FD3F93"/>
    <w:rsid w:val="00FD7F04"/>
    <w:rsid w:val="00FD7F6D"/>
    <w:rsid w:val="00FE2C00"/>
    <w:rsid w:val="00FE366B"/>
    <w:rsid w:val="00FE3B12"/>
    <w:rsid w:val="00FE772E"/>
    <w:rsid w:val="00FF0374"/>
    <w:rsid w:val="00FF39DA"/>
    <w:rsid w:val="00FF3AC6"/>
    <w:rsid w:val="00FF3F4A"/>
    <w:rsid w:val="00FF55C0"/>
    <w:rsid w:val="00FF5C6A"/>
    <w:rsid w:val="00FF6073"/>
    <w:rsid w:val="00FF64BB"/>
    <w:rsid w:val="00FF72CF"/>
    <w:rsid w:val="0AD55030"/>
    <w:rsid w:val="0B5D2E33"/>
    <w:rsid w:val="0DD46CA2"/>
    <w:rsid w:val="12F4554F"/>
    <w:rsid w:val="15E518B0"/>
    <w:rsid w:val="2E5177BC"/>
    <w:rsid w:val="3138185F"/>
    <w:rsid w:val="3FFD8E3B"/>
    <w:rsid w:val="429E07A7"/>
    <w:rsid w:val="43330D88"/>
    <w:rsid w:val="438A0D07"/>
    <w:rsid w:val="44A20139"/>
    <w:rsid w:val="45A85302"/>
    <w:rsid w:val="51493924"/>
    <w:rsid w:val="532E6C42"/>
    <w:rsid w:val="57607D75"/>
    <w:rsid w:val="5AF2660C"/>
    <w:rsid w:val="5D0A1FAF"/>
    <w:rsid w:val="600756CF"/>
    <w:rsid w:val="6A0E71CD"/>
    <w:rsid w:val="70C15B2E"/>
    <w:rsid w:val="779F352C"/>
    <w:rsid w:val="7B5E2865"/>
    <w:rsid w:val="7B8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1"/>
    <w:pPr>
      <w:jc w:val="left"/>
      <w:outlineLvl w:val="0"/>
    </w:pPr>
    <w:rPr>
      <w:rFonts w:ascii="方正小标宋简体" w:hAnsi="方正小标宋简体" w:eastAsia="方正小标宋简体"/>
      <w:kern w:val="0"/>
      <w:sz w:val="44"/>
      <w:szCs w:val="44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4"/>
    <w:qFormat/>
    <w:uiPriority w:val="1"/>
    <w:pPr>
      <w:ind w:left="114"/>
      <w:jc w:val="left"/>
    </w:pPr>
    <w:rPr>
      <w:rFonts w:ascii="宋体" w:hAnsi="宋体" w:eastAsia="宋体"/>
      <w:kern w:val="0"/>
      <w:sz w:val="29"/>
      <w:szCs w:val="29"/>
      <w:lang w:eastAsia="en-US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12"/>
    <w:link w:val="5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批注文字 Char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21">
    <w:name w:val="15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23">
    <w:name w:val="标题 1 Char"/>
    <w:basedOn w:val="12"/>
    <w:link w:val="2"/>
    <w:qFormat/>
    <w:uiPriority w:val="1"/>
    <w:rPr>
      <w:rFonts w:ascii="方正小标宋简体" w:hAnsi="方正小标宋简体" w:eastAsia="方正小标宋简体"/>
      <w:sz w:val="44"/>
      <w:szCs w:val="44"/>
      <w:lang w:eastAsia="en-US"/>
    </w:rPr>
  </w:style>
  <w:style w:type="character" w:customStyle="1" w:styleId="24">
    <w:name w:val="正文文本 Char"/>
    <w:basedOn w:val="12"/>
    <w:link w:val="4"/>
    <w:qFormat/>
    <w:uiPriority w:val="1"/>
    <w:rPr>
      <w:rFonts w:ascii="宋体" w:hAnsi="宋体" w:eastAsia="宋体"/>
      <w:sz w:val="29"/>
      <w:szCs w:val="29"/>
      <w:lang w:eastAsia="en-US"/>
    </w:rPr>
  </w:style>
  <w:style w:type="paragraph" w:customStyle="1" w:styleId="2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6">
    <w:name w:val="Table Normal"/>
    <w:semiHidden/>
    <w:unhideWhenUsed/>
    <w:qFormat/>
    <w:uiPriority w:val="2"/>
    <w:pPr>
      <w:widowControl w:val="0"/>
    </w:pPr>
    <w:rPr>
      <w:rFonts w:ascii="Times New Roman" w:hAnsi="Times New Roman" w:eastAsia="宋体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583</Words>
  <Characters>3326</Characters>
  <Lines>27</Lines>
  <Paragraphs>7</Paragraphs>
  <TotalTime>50</TotalTime>
  <ScaleCrop>false</ScaleCrop>
  <LinksUpToDate>false</LinksUpToDate>
  <CharactersWithSpaces>3902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2021-06-23T15:03:00Z</dcterms:created>
  <dc:creator>wangqy</dc:creator>
  <cp:lastModifiedBy>huawei</cp:lastModifiedBy>
  <cp:lastPrinted>2021-02-01T14:45:00Z</cp:lastPrinted>
  <dcterms:modified xsi:type="dcterms:W3CDTF">2021-06-24T17:40:35Z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