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ZJBC01 -2O21-OO1O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tLeast"/>
        <w:ind w:left="0" w:right="0" w:firstLine="0"/>
        <w:jc w:val="center"/>
        <w:textAlignment w:val="auto"/>
        <w:rPr>
          <w:spacing w:val="0"/>
          <w:w w:val="100"/>
          <w:position w:val="0"/>
        </w:rPr>
      </w:pPr>
      <w:r>
        <w:rPr>
          <w:spacing w:val="0"/>
          <w:w w:val="100"/>
          <w:position w:val="0"/>
        </w:rPr>
        <w:t>宁波市人民政府办公厅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tLeast"/>
        <w:ind w:left="0" w:right="0" w:firstLine="0"/>
        <w:jc w:val="center"/>
        <w:textAlignment w:val="auto"/>
        <w:rPr>
          <w:rFonts w:hint="eastAsia" w:eastAsia="宋体"/>
          <w:spacing w:val="0"/>
          <w:w w:val="100"/>
          <w:position w:val="0"/>
          <w:lang w:val="en-US" w:eastAsia="zh-CN"/>
        </w:rPr>
      </w:pPr>
      <w:r>
        <w:rPr>
          <w:rFonts w:hint="eastAsia"/>
          <w:spacing w:val="0"/>
          <w:w w:val="100"/>
          <w:position w:val="0"/>
          <w:lang w:val="en-US" w:eastAsia="zh-CN"/>
        </w:rPr>
        <w:t>文件</w:t>
      </w:r>
    </w:p>
    <w:p>
      <w:pPr>
        <w:pStyle w:val="11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甬政办发〔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39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宁波市人民政府办公厅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关于</w:t>
      </w:r>
      <w:bookmarkStart w:id="15" w:name="_GoBack"/>
      <w:r>
        <w:rPr>
          <w:color w:val="000000"/>
          <w:spacing w:val="0"/>
          <w:w w:val="100"/>
          <w:position w:val="0"/>
        </w:rPr>
        <w:t>加快培育制造业百强企业的实施意见</w:t>
      </w:r>
      <w:bookmarkEnd w:id="15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各区县（市）人民政府，市直及部省属驻甬各单位：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为深入推进制造业高质量发展，提升龙头企业的引领力、支 撑力和带动力，进一步加大支持力度，加快培育制造业百强企业 （以下简称培育企业），经市政府同意，现提出如下意见。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、总体要求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81"/>
        </w:tabs>
        <w:bidi w:val="0"/>
        <w:spacing w:before="0" w:after="0" w:line="510" w:lineRule="exact"/>
        <w:ind w:left="0" w:right="0" w:firstLine="540"/>
        <w:jc w:val="both"/>
        <w:rPr>
          <w:rStyle w:val="10"/>
          <w:b w:val="0"/>
          <w:bCs w:val="0"/>
          <w:i w:val="0"/>
          <w:iCs w:val="0"/>
          <w:smallCaps w:val="0"/>
          <w:strike w:val="0"/>
        </w:rPr>
      </w:pPr>
      <w:r>
        <w:rPr>
          <w:color w:val="000000"/>
          <w:spacing w:val="0"/>
          <w:w w:val="100"/>
          <w:position w:val="0"/>
        </w:rPr>
        <w:t>全面贯彻落实国家制造业高质量发展总体部署，聚焦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“246” </w:t>
      </w:r>
      <w:r>
        <w:rPr>
          <w:color w:val="000000"/>
          <w:spacing w:val="0"/>
          <w:w w:val="100"/>
          <w:position w:val="0"/>
        </w:rPr>
        <w:t>万千亿级产业集群和新兴产业、未来产业培育，坚持企业主体、 政府有为，强化目标导向、政策激励和专班服务：支持企业做大 做优做强、绿色创新高效发展，努力打造以世界和中国制造业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rStyle w:val="10"/>
          <w:b w:val="0"/>
          <w:bCs w:val="0"/>
          <w:i w:val="0"/>
          <w:iCs w:val="0"/>
          <w:smallCaps w:val="0"/>
          <w:strike w:val="0"/>
        </w:rPr>
        <w:t>强为引领，以航母型、领军型行业龙头企业为主体的制造业百强企业群址，为我市建设制造业高质量发展先行城市奠定坚实基础。</w:t>
      </w:r>
      <w:bookmarkStart w:id="0" w:name="bookmark4"/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81"/>
        </w:tabs>
        <w:bidi w:val="0"/>
        <w:spacing w:before="0" w:after="0" w:line="510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二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主要目标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4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2025</w:t>
      </w:r>
      <w:r>
        <w:rPr>
          <w:color w:val="000000"/>
          <w:spacing w:val="0"/>
          <w:w w:val="100"/>
          <w:position w:val="0"/>
        </w:rPr>
        <w:t>年，营业收入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亿元以上企业力争达到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家，其中百亿元以上企业达到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家，五百亿元以上企业达到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家，千亿元以上企业达到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家；世界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强企业实现零的突破，中国制 造业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强企业超过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家。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081"/>
        </w:tabs>
        <w:bidi w:val="0"/>
        <w:spacing w:before="0" w:after="0" w:line="504" w:lineRule="exact"/>
        <w:ind w:left="0" w:right="0" w:firstLine="540"/>
        <w:jc w:val="both"/>
      </w:pPr>
      <w:bookmarkStart w:id="1" w:name="bookmark5"/>
      <w:r>
        <w:rPr>
          <w:color w:val="000000"/>
          <w:spacing w:val="0"/>
          <w:w w:val="100"/>
          <w:position w:val="0"/>
        </w:rPr>
        <w:t>三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政策举措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4" w:lineRule="exact"/>
        <w:ind w:left="0" w:right="0" w:firstLine="520" w:firstLineChars="200"/>
        <w:jc w:val="both"/>
        <w:textAlignment w:val="auto"/>
      </w:pPr>
      <w:bookmarkStart w:id="2" w:name="bookmark6"/>
      <w:r>
        <w:rPr>
          <w:color w:val="000000"/>
          <w:spacing w:val="0"/>
          <w:w w:val="100"/>
          <w:position w:val="0"/>
        </w:rPr>
        <w:t>（</w:t>
      </w:r>
      <w:bookmarkEnd w:id="2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“一企</w:t>
      </w:r>
      <w:r>
        <w:rPr>
          <w:color w:val="000000"/>
          <w:spacing w:val="0"/>
          <w:w w:val="100"/>
          <w:position w:val="0"/>
        </w:rPr>
        <w:t>一策”培育。根据各培育企业的目标、路 径和上台阶等具体情况，建立动态的培育企业库和重点企业培育 清单，实施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“一企</w:t>
      </w:r>
      <w:r>
        <w:rPr>
          <w:color w:val="000000"/>
          <w:spacing w:val="0"/>
          <w:w w:val="100"/>
          <w:position w:val="0"/>
        </w:rPr>
        <w:t>一策”综合政策扶持。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4" w:lineRule="exact"/>
        <w:ind w:left="0" w:right="0" w:firstLine="520" w:firstLineChars="200"/>
        <w:jc w:val="both"/>
        <w:textAlignment w:val="auto"/>
      </w:pPr>
      <w:bookmarkStart w:id="3" w:name="bookmark7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支持发展总部经济。鼓励培育企业立足宁波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整合资源，打造具备管理、结算、营销、研发等功能的制造业总部型企业。对符合条件的，市级财政给予支持。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4" w:lineRule="exact"/>
        <w:ind w:left="0" w:right="0" w:firstLine="520" w:firstLineChars="200"/>
        <w:jc w:val="both"/>
        <w:textAlignment w:val="auto"/>
      </w:pPr>
      <w:bookmarkStart w:id="4" w:name="bookmark8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支持加大有效投资。鼓励培育企业实施增资扩产，扩大在本地投资。对重点工业投资（技术改造）项目，优先列入市、 区县（市）重点专项计划，并在项目用地、能耗、排放等指标安排方面予以重点保障。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7" w:lineRule="exact"/>
        <w:ind w:left="0" w:right="0" w:firstLine="520" w:firstLineChars="200"/>
        <w:jc w:val="both"/>
        <w:textAlignment w:val="auto"/>
      </w:pPr>
      <w:bookmarkStart w:id="5" w:name="bookmark9"/>
      <w:r>
        <w:rPr>
          <w:color w:val="000000"/>
          <w:spacing w:val="0"/>
          <w:w w:val="100"/>
          <w:position w:val="0"/>
        </w:rPr>
        <w:t>（</w:t>
      </w:r>
      <w:bookmarkEnd w:id="5"/>
      <w:r>
        <w:rPr>
          <w:color w:val="000000"/>
          <w:spacing w:val="0"/>
          <w:w w:val="100"/>
          <w:position w:val="0"/>
        </w:rPr>
        <w:t>四）支持并购重组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  <w:r>
        <w:rPr>
          <w:color w:val="000000"/>
          <w:spacing w:val="0"/>
          <w:w w:val="100"/>
          <w:position w:val="0"/>
        </w:rPr>
        <w:t>鼓励培育企业并购重组产业链上下游企业、高新技术企业和研发创新机构，对并购重组中涉及的资产评估增值、债务重组收益、土地房屋权属转移等：根据所形成的 综合贡献，由属地政府给予一定额度的奖励。对并购重组并实现控股的，市级财政按照并购总额给予不超过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2%</w:t>
      </w:r>
      <w:r>
        <w:rPr>
          <w:color w:val="000000"/>
          <w:spacing w:val="0"/>
          <w:w w:val="100"/>
          <w:position w:val="0"/>
        </w:rPr>
        <w:t>、最高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1000</w:t>
      </w:r>
      <w:r>
        <w:rPr>
          <w:color w:val="000000"/>
          <w:spacing w:val="0"/>
          <w:w w:val="100"/>
          <w:position w:val="0"/>
        </w:rPr>
        <w:t>万元的 奖励.鼓励商业银行、证券公司、股权没资基金等为企业提供并 购重组的资金支持。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7" w:lineRule="exact"/>
        <w:ind w:left="0" w:right="0" w:firstLine="520" w:firstLineChars="200"/>
        <w:jc w:val="both"/>
        <w:textAlignment w:val="auto"/>
      </w:pPr>
      <w:bookmarkStart w:id="6" w:name="bookmark10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支持股份制改造。支持培育企业实施股份制改造，优 先列入企业上市培育库，优先推荐企业通过多种渠道上市，上市后，可优先享受有关改策。支持已上市的培育企业开展增发、配股、可转换债等融资工作。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7" w:lineRule="exact"/>
        <w:ind w:left="0" w:right="0" w:firstLine="520" w:firstLineChars="200"/>
        <w:jc w:val="both"/>
        <w:textAlignment w:val="auto"/>
      </w:pPr>
      <w:bookmarkStart w:id="7" w:name="bookmark11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支持提升创新能力。支持培育企业创建国家级、省级 重点实验室、工程实验室、重点企业研究院、工程（技术）研究 中心和企业技术中心等研发创新机构，经认定后予以财政奖励。 支持培育企业申报国家、省、市重大科技攻关、产业化、工业强 基等项目。支持培育企业牵头组建产业链创新联合体（共同体）， 开展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“卡</w:t>
      </w:r>
      <w:r>
        <w:rPr>
          <w:color w:val="000000"/>
          <w:spacing w:val="0"/>
          <w:w w:val="100"/>
          <w:position w:val="0"/>
        </w:rPr>
        <w:t>脖子”技术攻关，并根据实际成效给予资金支持。支持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首”产品采购应用和新产品应用场景供给。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7" w:lineRule="exact"/>
        <w:ind w:left="0" w:right="0" w:firstLine="520" w:firstLineChars="200"/>
        <w:jc w:val="both"/>
        <w:textAlignment w:val="auto"/>
        <w:rPr>
          <w:rFonts w:hint="eastAsia" w:eastAsia="宋体"/>
          <w:lang w:eastAsia="zh-CN"/>
        </w:rPr>
      </w:pPr>
      <w:bookmarkStart w:id="8" w:name="bookmark12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支持引进培育各类人才。建立培育企业引才绿色通道, 赋予培育企业人才评价权、举荐权，支持企业引进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“高精</w:t>
      </w:r>
      <w:r>
        <w:rPr>
          <w:color w:val="000000"/>
          <w:spacing w:val="0"/>
          <w:w w:val="100"/>
          <w:position w:val="0"/>
        </w:rPr>
        <w:t>尖缺” 人才，符合条件的可直接进入甬江引才工程等终评环节。支持培 育企业引进培养紧缺人才，在赴外招聘、人才培养中予以重点保 障。支持培育企业与我市高校共建职业人才培训基地，订单式培养人才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10" w:lineRule="exact"/>
        <w:ind w:left="0" w:right="0" w:firstLine="520" w:firstLineChars="200"/>
        <w:jc w:val="both"/>
        <w:textAlignment w:val="auto"/>
      </w:pPr>
      <w:bookmarkStart w:id="9" w:name="bookmark13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八）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支持创品牌提质量。鼓励培育企业开展自主品牌创建, 有效提升品牌价值。对首次获得中国驰名商标（行政认定）的培 育企业，市级财政一次性给予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万元的奖励。对获得国家级、省级和市级政府质量奖的培育企业，市级财政一次性给予最高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500 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万元的分档奖励。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1" w:lineRule="exact"/>
        <w:ind w:left="0" w:right="0" w:firstLine="520" w:firstLineChars="200"/>
        <w:jc w:val="both"/>
        <w:textAlignment w:val="auto"/>
      </w:pPr>
      <w:bookmarkStart w:id="10" w:name="bookmark14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九）支持集聚集群发展。鼓励培育企业发孝集团优势，建设企业园区、特色小镇，集中集约发展。支持培育企业发挥产业链龙头作用，建设特色型专业园区，提高产业配套率，完善产业链生态。支持培育企业创新发展模式，建设特色工业互联网平台， 畅通产业链供应链，推进产业链上下游企业提升智联水平，打造数字化平台型大企业。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1" w:lineRule="exact"/>
        <w:ind w:left="0" w:right="0" w:firstLine="52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（十）支持上规模上榜单。对培育企业营业收入首次突破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50 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300</w:t>
      </w:r>
      <w:r>
        <w:rPr>
          <w:color w:val="000000"/>
          <w:spacing w:val="0"/>
          <w:w w:val="100"/>
          <w:position w:val="0"/>
        </w:rPr>
        <w:t>亿元、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亿元的，市级财政一次性给予企业核心团队最高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150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200</w:t>
      </w:r>
      <w:r>
        <w:rPr>
          <w:color w:val="000000"/>
          <w:spacing w:val="0"/>
          <w:w w:val="100"/>
          <w:position w:val="0"/>
        </w:rPr>
        <w:t>万元的分档奖励（不重复享受）；对营业收入达到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亿元以上的培育企业，营业收入每增加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亿元,再给予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万元的奖励。对首次入选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“中 </w:t>
      </w:r>
      <w:r>
        <w:rPr>
          <w:color w:val="000000"/>
          <w:spacing w:val="0"/>
          <w:w w:val="100"/>
          <w:position w:val="0"/>
        </w:rPr>
        <w:t>国制造业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强”、世界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 xml:space="preserve">强的培育企业，市级财政一次性给予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200</w:t>
      </w:r>
      <w:r>
        <w:rPr>
          <w:color w:val="000000"/>
          <w:spacing w:val="0"/>
          <w:w w:val="100"/>
          <w:position w:val="0"/>
        </w:rPr>
        <w:t>万元、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万元的奖励。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1" w:lineRule="exact"/>
        <w:ind w:left="0" w:right="0" w:firstLine="52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（十一）支持提升效益。鼓励企业提质增效发展，制定培育企业综合贡献评价办法。对完成年度培育计划的企业，按照其在宁波市域范围内制造业和制造服务业的地方综合贡献总额，市级 财政对超额部分按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30</w:t>
      </w:r>
      <w:r>
        <w:rPr>
          <w:color w:val="000000"/>
          <w:spacing w:val="0"/>
          <w:w w:val="100"/>
          <w:position w:val="0"/>
        </w:rPr>
        <w:t>%予以奖励。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1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四、保障机制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4" w:lineRule="exact"/>
        <w:ind w:left="0" w:right="0" w:firstLine="52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（一）建立统筹协同培育机制.强化目标管理，确定培育企业五年发展目标、具体举措，以及分年度目标计划和工作任务，并按年度进行评价和玫策兑现。实施动态培育，建立企业准入和退出办法，毎年一次调整培育企业库和重点培育企业清单。加强协同支持，落实市县联动、部门协同、聚焦支持的政策举措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4" w:lineRule="exact"/>
        <w:ind w:left="0" w:right="0" w:firstLine="520" w:firstLineChars="200"/>
        <w:jc w:val="both"/>
        <w:textAlignment w:val="auto"/>
      </w:pPr>
      <w:bookmarkStart w:id="11" w:name="bookmark0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建立专项产业基金机制。设立市制造业高质量发展基金，总规模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皿亿元，分期实施，重点支持培育企业开展重大并购重组、股份制改造、重大项目建设，以及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“大优</w:t>
      </w:r>
      <w:r>
        <w:rPr>
          <w:color w:val="000000"/>
          <w:spacing w:val="0"/>
          <w:w w:val="100"/>
          <w:position w:val="0"/>
        </w:rPr>
        <w:t>新”项目的招引和落地。建立市制造业高质量发展基金专家咨为和科学决策机制，健全基金运行管理和持续扩大机制，实行合理的风控和容错机制。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8" w:lineRule="exact"/>
        <w:ind w:left="0" w:right="0" w:firstLine="520" w:firstLineChars="200"/>
        <w:jc w:val="both"/>
        <w:textAlignment w:val="auto"/>
      </w:pPr>
      <w:bookmarkStart w:id="12" w:name="bookmark1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建立专班服务机制。组建市、区县（市）服务专班， 主动做好指导和服务，提出意见建议。专人优先或预约上门办理培育企业的各类项目审批（备案）、登记等事务。强化困难问题的全过程管理，及时协调解决。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8" w:lineRule="exact"/>
        <w:ind w:left="0" w:right="0" w:firstLine="520" w:firstLineChars="200"/>
        <w:jc w:val="both"/>
        <w:textAlignment w:val="auto"/>
      </w:pPr>
      <w:bookmarkStart w:id="13" w:name="bookmark2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立绿色通道机制。金融机构、海关、港航等单位应为培育企业提供融资、通关服务等绿色通道支持。行政执法单位要加强对培育企业的指导服务，提供良好的法治环境。政府相关部门和医院、机场、铁路等单位要为培育企业提供便捷、优质服务。属地政府对培育企业重点人才子女就读或转学，予以优先安排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8" w:lineRule="exact"/>
        <w:ind w:left="0" w:leftChars="0" w:right="0" w:firstLine="0" w:firstLineChars="0"/>
        <w:jc w:val="both"/>
        <w:textAlignment w:val="auto"/>
      </w:pPr>
      <w:r>
        <w:rPr>
          <w:color w:val="000000"/>
          <w:spacing w:val="0"/>
          <w:w w:val="100"/>
          <w:position w:val="0"/>
        </w:rPr>
        <w:t>（五）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建立企业家荣誉机制。完善创业创新风云榜，开展企业家专题活动。鼓励市内高校聘请优秀企业家担</w:t>
      </w:r>
      <w:r>
        <w:rPr>
          <w:color w:val="000000"/>
          <w:spacing w:val="0"/>
          <w:w w:val="100"/>
          <w:position w:val="0"/>
          <w:lang w:val="zh-CN" w:eastAsia="zh-CN" w:bidi="zh-CN"/>
        </w:rPr>
        <w:t>任客座</w:t>
      </w:r>
      <w:r>
        <w:rPr>
          <w:color w:val="000000"/>
          <w:spacing w:val="0"/>
          <w:w w:val="100"/>
          <w:position w:val="0"/>
        </w:rPr>
        <w:t>教授。聘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请优秀企业</w:t>
      </w:r>
      <w:r>
        <w:rPr>
          <w:color w:val="000000"/>
          <w:spacing w:val="0"/>
          <w:w w:val="100"/>
          <w:position w:val="0"/>
        </w:rPr>
        <w:t>家担任市、区县（市）政府经济顾问，并在重大决策或重大涉企政策定过程中专题听取政府经济顾问意见。发挥媒体作用，深度挖掘、大力宣传优秀企业家的先进事迹。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7" w:lineRule="exact"/>
        <w:ind w:left="0" w:right="0" w:firstLine="520" w:firstLineChars="200"/>
        <w:jc w:val="left"/>
        <w:textAlignment w:val="auto"/>
      </w:pPr>
      <w:r>
        <w:rPr>
          <w:color w:val="000000"/>
          <w:spacing w:val="0"/>
          <w:w w:val="100"/>
          <w:position w:val="0"/>
        </w:rPr>
        <w:t>本意见所指的培育企业，包括培育企业（集团）及下属全资、 控股子公司。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20" w:line="507" w:lineRule="exact"/>
        <w:ind w:left="0" w:right="0" w:firstLine="520" w:firstLineChars="20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本意见自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22</w:t>
      </w:r>
      <w:r>
        <w:rPr>
          <w:color w:val="000000"/>
          <w:spacing w:val="0"/>
          <w:w w:val="100"/>
          <w:position w:val="0"/>
        </w:rPr>
        <w:t>日起施行，有效期至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2025</w:t>
      </w:r>
      <w:r>
        <w:rPr>
          <w:color w:val="000000"/>
          <w:spacing w:val="0"/>
          <w:w w:val="100"/>
          <w:position w:val="0"/>
        </w:rPr>
        <w:t>年。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20" w:line="507" w:lineRule="exact"/>
        <w:ind w:left="0" w:right="0" w:firstLine="520" w:firstLineChars="200"/>
        <w:jc w:val="left"/>
        <w:textAlignment w:val="auto"/>
        <w:rPr>
          <w:color w:val="000000"/>
          <w:spacing w:val="0"/>
          <w:w w:val="100"/>
          <w:position w:val="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114300</wp:posOffset>
            </wp:positionV>
            <wp:extent cx="1706880" cy="1371600"/>
            <wp:effectExtent l="0" t="0" r="7620" b="0"/>
            <wp:wrapSquare wrapText="bothSides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ut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20" w:line="507" w:lineRule="exact"/>
        <w:ind w:left="0" w:right="0" w:firstLine="520" w:firstLineChars="20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20" w:line="507" w:lineRule="exact"/>
        <w:ind w:left="0" w:right="0" w:firstLine="520" w:firstLineChars="200"/>
        <w:jc w:val="left"/>
        <w:textAlignment w:val="auto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80"/>
        <w:jc w:val="left"/>
        <w:rPr>
          <w:rFonts w:hint="default"/>
          <w:color w:val="000000"/>
          <w:spacing w:val="0"/>
          <w:w w:val="100"/>
          <w:position w:val="0"/>
          <w:lang w:val="en-US" w:eastAsia="zh-CN"/>
        </w:rPr>
        <w:sectPr>
          <w:footerReference r:id="rId5" w:type="default"/>
          <w:footnotePr>
            <w:numFmt w:val="decimal"/>
          </w:footnotePr>
          <w:pgSz w:w="11900" w:h="16840"/>
          <w:pgMar w:top="2901" w:right="2017" w:bottom="2656" w:left="2138" w:header="2473" w:footer="2228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（此件公开发布）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760" w:line="503" w:lineRule="exact"/>
        <w:ind w:left="0" w:leftChars="0" w:right="0" w:firstLine="0" w:firstLineChars="0"/>
        <w:jc w:val="both"/>
        <w:textAlignment w:val="auto"/>
      </w:pPr>
      <w:bookmarkStart w:id="14" w:name="bookmark3"/>
      <w:bookmarkEnd w:id="14"/>
    </w:p>
    <w:sectPr>
      <w:footerReference r:id="rId6" w:type="default"/>
      <w:footnotePr>
        <w:numFmt w:val="decimal"/>
      </w:footnotePr>
      <w:pgSz w:w="11900" w:h="16840"/>
      <w:pgMar w:top="3103" w:right="2037" w:bottom="2787" w:left="2144" w:header="2675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1774825</wp:posOffset>
              </wp:positionH>
              <wp:positionV relativeFrom="page">
                <wp:posOffset>9095105</wp:posOffset>
              </wp:positionV>
              <wp:extent cx="56515" cy="10795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139.75pt;margin-top:716.15pt;height:8.5pt;width:4.4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cqv6jZ&#10;AAAADQEAAA8AAAAAAAAAAQAgAAAAIgAAAGRycy9kb3ducmV2LnhtbFBLAQIUABQAAAAIAIdO4kCG&#10;PXFprQEAAG4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5734685</wp:posOffset>
              </wp:positionH>
              <wp:positionV relativeFrom="page">
                <wp:posOffset>9103360</wp:posOffset>
              </wp:positionV>
              <wp:extent cx="34290" cy="1022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51.55pt;margin-top:716.8pt;height:8.05pt;width:2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9mxPdgAAAAN&#10;AQAADwAAAAAAAAABACAAAAAiAAAAZHJzL2Rvd25yZXYueG1sUEsBAhQAFAAAAAgAh07iQGR7Z9W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E4C1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uiPriority w:val="0"/>
    <w:rPr>
      <w:sz w:val="26"/>
      <w:szCs w:val="26"/>
      <w:u w:val="none"/>
      <w:shd w:val="clear" w:color="auto" w:fill="auto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  <w:spacing w:after="1180"/>
      <w:jc w:val="right"/>
    </w:pPr>
    <w:rPr>
      <w:sz w:val="26"/>
      <w:szCs w:val="26"/>
      <w:u w:val="none"/>
      <w:shd w:val="clear" w:color="auto" w:fill="auto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4_"/>
    <w:basedOn w:val="3"/>
    <w:link w:val="9"/>
    <w:qFormat/>
    <w:uiPriority w:val="0"/>
    <w:rPr>
      <w:rFonts w:ascii="宋体" w:hAnsi="宋体" w:eastAsia="宋体" w:cs="宋体"/>
      <w:color w:val="F90102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Body text|4"/>
    <w:basedOn w:val="1"/>
    <w:link w:val="8"/>
    <w:qFormat/>
    <w:uiPriority w:val="0"/>
    <w:pPr>
      <w:widowControl w:val="0"/>
      <w:shd w:val="clear" w:color="auto" w:fill="auto"/>
      <w:spacing w:after="1000"/>
    </w:pPr>
    <w:rPr>
      <w:rFonts w:ascii="宋体" w:hAnsi="宋体" w:eastAsia="宋体" w:cs="宋体"/>
      <w:color w:val="F90102"/>
      <w:sz w:val="68"/>
      <w:szCs w:val="68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380" w:line="403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pPr>
      <w:widowControl w:val="0"/>
      <w:shd w:val="clear" w:color="auto" w:fill="auto"/>
      <w:ind w:firstLine="300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2021-07-29T01:39:44Z</dcterms:created>
  <dc:creator>pc</dc:creator>
  <cp:lastModifiedBy>刘明辉（奚妈）</cp:lastModifiedBy>
  <dcterms:modified xsi:type="dcterms:W3CDTF">2021-07-29T05:57:46Z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AEA2EFA1D06D4358805A9EFA44D8F290</vt:lpwstr>
  </property>
</Properties>
</file>