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附件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bookmarkStart w:id="3" w:name="_GoBack"/>
      <w:bookmarkStart w:id="0" w:name="bookmark37"/>
      <w:bookmarkStart w:id="1" w:name="bookmark38"/>
      <w:bookmarkStart w:id="2" w:name="bookmark39"/>
      <w:r>
        <w:rPr>
          <w:color w:val="000000"/>
          <w:spacing w:val="0"/>
          <w:w w:val="100"/>
          <w:position w:val="0"/>
        </w:rPr>
        <w:t>制造业高质量发展重点工程表</w:t>
      </w:r>
      <w:bookmarkEnd w:id="0"/>
      <w:bookmarkEnd w:id="1"/>
      <w:bookmarkEnd w:id="2"/>
    </w:p>
    <w:bookmarkEnd w:id="3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4"/>
        <w:gridCol w:w="5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建设内容与目标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8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国家级先进制造业 集群培育工程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落实国家先进制造业集群培育工作要求，加快培育绿色石化、 汽车（零部件）两大先进制造业集群。优化空间布局，绿色石 化产业重点布局石化开发区、大榭开发区、宁波经济技术开发 区（北仑区）,汽车（零部件）产业重点布局前湾新区、梅山以 及鄱州、宁海、北仑、象山等地，明确主攻方向，绿色石化产 业重点发展先进高分子材料、高端石化产品和专用化学品，汽 车（零部件）产业重点发展新能源汽车、智能网联汽车、节能 汽车及核心零部件。创新培育发展路径，培育一批世界级领军 企业、行业骨干企业、单项冠军企业和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“专精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特新”企业，攻 克一批重点领域关键核心技术，创建一批国内外知名品牌，建 设一批主导产业明晰、资源要素集聚、特色错位发展的产业集 群平台。探索建立完善产业集群发展治理机制，推进管理机制 创新。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年，将绿色石化、汽车（零部件）产业集群打造成为国 家先进制造业集群，葉群发展规模、效益和影响力显著提升， 形成国内领先示范效应。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新一代人工智能 产业培育工程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紧紧抓住人工智能产业发展重大机遇，突出应用、研发和产业 培育三个环节，推进实施人工智能场景应用、技术攻关、平台 支撑、企业培育、生态优化等行动，打造覆盖"应用场景-核心 算法-智能器件-智能软件及系统-智能产品-智能企业-智能产 业”的产业链条，率先在人机物智能协同、新一代人工智能应 用、产业生态构建等方面形成示范效应。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年，培育人工智能融合应用示范企业（项目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）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家（个）, 人工智能核心产业规模达到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亿元，形成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个可推广、可 复制的人工智能场景示范项目。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增资扩产工程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重点针对有对外投资扩张意愿的企业、在市外有投资的甬企和 在外的甬商、具备总部经济特征的工业企业、其他有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“增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资扩 产”需求或可能的企业，建立动态排摸机制，建立完善项目和企 业清单，组建项目协调推进工作专班，每年加快推进一批企业 在建的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“增资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扩产”项目，努力留住一批拟对外投资企业的项 目，争取回归一批在外甬企（甬商）的返乡投资项目，重点扶 持一批总部型企业的实力提升项目。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年，形成一流的支持企业在本地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“增资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扩产”的良好投 资环境、政策措施和服务体系，工业投资年均增长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6%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。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4"/>
        <w:gridCol w:w="5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建设内容与目标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智能制造升级工程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深入实施智能制造升级工程，系统推进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“点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、线、面”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2.0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版 智能化改造计划，“点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”上重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点推进行业骨干企业智能化水平能 级提升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，“线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”上重点推进行业的数字化试点示范和应用推广，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“面”上重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点推进量大面广中小企业的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“机器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换人”、企业上云； 建立完善智能制造综合服务体系。聚焦推动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“5G+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工业互联网” 在制造业领域的示范应用，深入推进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“5（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；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+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工业互联网”、标识 解析集成、安全集成等工业互联网相关的智能制造新模式新应 用，遴选一批面向特定行业和领域的可推广复制的解决方案， 争创国家级工业互联网产业和应用创新服务中心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年，建设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家市级数字化车间/智能工厂、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 xml:space="preserve">“5G+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工业互联网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”重点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应用场景试点示范，建成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家市级行业工业 互联网平台，培育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3（）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家市级优秀系统解决方案供应商，应用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万台工业机器人。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空天信息产业链 培育工程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争取商业航天发射场等重大项目落地布局，以装备制造为支撑、 应用服务为牵引，聚焦发展航空航天装备、航天发射服务、空 天信息应用服务和航天育种，深化车联网、船联网、卫星物联 网三大应用场景，优化空间布局，打造前湾新区长三角卫星应 用示范园、南湾新区卫星研发制造基地、甬江科创大走廊卫星 应用研发及数据中心，培育具有较强延展性的空天信息产业 链，争创国家卫星互联网产业与应用示范基地，打造北纬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30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度空天信息产业名城。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3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年，引进培育空天信息重点企业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家，空天信息产业布 局.基本完成。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绿色制造升级工样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围绕化工、金属冶炼及压延加工、化纤、非金属矿物制品等重 点制造业，推广原料优化及替代、能源梯级利用、可循环、流 程再造等系统优化工艺技术，每年组织实施重点节能技术改造 项目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300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项以上，年节能量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万吨标煤以上。实施淸洁生产推 进计划，每年组织开展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家企业的清洁生产审核，推进生产 过程清洁化改造。鼓励重点用能企业（园区）积极参与工信部 和浙江省绿色制造体系建设，评选一批市级绿色工厂、绿色园 区和绿色供应链，形成三级联动的示范引领机制，不断提升我 市制造业绿色发展水平。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7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年，累计培育市级以上绿色园区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个、绿色工厂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50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个、绿色供应链管理示范企业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家，国家级绿色设计产品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 xml:space="preserve">100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个，初步建立符合我市产业结构、行业特点的绿色制造体系， 基本形成绿色制造市场化推进机制。</w:t>
            </w:r>
          </w:p>
        </w:tc>
      </w:tr>
    </w:tbl>
    <w:p>
      <w:pPr>
        <w:sectPr>
          <w:footnotePr>
            <w:numFmt w:val="decimal"/>
          </w:footnotePr>
          <w:pgSz w:w="11900" w:h="16840"/>
          <w:pgMar w:top="2596" w:right="2011" w:bottom="2626" w:left="2130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4"/>
        <w:gridCol w:w="5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建设内容与目标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产业技术研究院 提效工程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2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推进存量研究院做强做大，引导研究院面向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“246”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万千亿级产 业集群和前沿产业实施重大研发和专项。围绕新材料、先进电机 与驱动控制、先进半导体材料与器件等领域，布局建设用江实验 室，争创国家级重大创新平台。实施新一轮精准引进建设产业技 术研究院计划，支持龙头企业牵头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组建一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批面向产业关键共性技 术研发与孵化的研究院。强化研究院服务供给，建立仪器设备开 放共享机制，推进研究院与企业双向对接。推进研究院市场化机 制创新，开展研究院高效运营模式试点和专项政策试点。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年，全市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50%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以上的重点产业技术研究院实现良性发展， 对全市制造业发展支撑作用明显提升，成为技术创新、创业孵 化、人才培养的重要平台。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“四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基” 产业链培育工程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围绕产业基础高端化和产业链现代化，实施伺服电机、减速器、 石墨烯、集成电路、光学薄膜、模具等产业链培育，针对应用 配套和技术创新等薄弱环节，横向构建产品应用配套链，纵向 构建关键技术创新链，实施和引进一批重大关键项目，搭建一 批设计、试验、测试等产业服务平台，构建完善的产业生态体 系，培育一批工业基础领域制造业单项冠军企业，形成基础产 业发展与应用的良性互动格局。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年，突破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项关键技术和先进工艺，推动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种基础产 品达到国内领先水平，建设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个产业技术基础公共服务平台。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品牌提升工程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实施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“宁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波制造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”品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牌行动，支持重点行业争创国家级区域品 牌，支持企业争创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“中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国驰名商标”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“浙江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制造” “浙江制造精 品”等省级以上品牌。加大对龙头企业、行业领军企业、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 xml:space="preserve">“专精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特新”企业品牌培育的支持力度，争取在高端装备、汽车、智 能家电等领域培育一批国际知名品牌。加强企业品牌与区域品 牌、城市品牌联动宣传。引导企业加强商标管理，鼓励开展商 标境外注册.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9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年，争取培育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1()0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家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“品字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标浙江制造”品牌企业,驰 名商标达到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个，完成集群区域品牌建设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产教融合工程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组建和发展产教联盟，强化校企合作，鼓励企业与科研机构、 高校联合建立区域性综合技能公共实训基地。推动协同创新中 心建设，引导高校以特色学科为依托，结合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“246”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万千亿产业 集群发展需求，与国内知名高校、科研院所、企业等联合建设 协同创新中心，实现人才、学科、科研三位一体协同创新.加 快特色学院建设，重点遴选建设一批支撑地方支柱产业和战略 性新兴产业有力，优势突出，特点解明的特色学院，提高高校 服务产业能力。探索建立协同培养模式。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年，全市建成特色学院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11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个、产教联盟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个、职业教 育行业指导委员会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个，新增培训技能劳动者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50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万。</w:t>
            </w:r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2596" w:right="2011" w:bottom="2626" w:left="2130" w:header="2168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44"/>
        <w:gridCol w:w="5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工程名称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建设内容与目标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5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制造业融资 畅通工程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全面落实国家金融支持制造业政策和小微企业贷款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“三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个不低 干”的要求，完善金融机构支持经济社会发展评价，将制造业 信贷支持指标纳入地方金融监管部门对金融机构综合考核的重 要内容。深化区块链技术应用，鼓励金融机构向有订单、有偿 还能力的中小企业提供信用贷款，鼓励金融机构对智能装备产 业园区、数字化车间、智能工厂示范项目建设等实施单独授信 政策和差异化考核激励措施。建立全市制造业高质量发展关键 领域贷款风险池和贷款风险彳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en-US" w:bidi="en-US"/>
              </w:rPr>
              <w:t>M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尝机制，对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“工业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强基” “卡脖子” 技术产品等关键领域企业和项目给予支持.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年，制造业贷款年均增速保持在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1()%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以上。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4" w:lineRule="exac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中小企业服务 能力提升工程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0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推动实现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8718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平台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个区县(市)枢纽实体化建设运营全覆 盖，组织引导属地工业园区、两创基地、产业集聚区等通过入 驻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“企业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平台网络云”与县级枢纽互联互通、深度融通，同时 加快推进县级枢纽与市级枢纽互联互通，形成平台网络运行一 体化、生态化，高质量实现“一点提冋、全网联动，件件着落、 全程可溯”目标。充分发挥市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8718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平台政策帮享、困难帮解、 市场帮需、企情建言作用，不断完善平台企业注册信息，并在 原有基础上不断扩容.加快培育和认定一批提供信息咨询、技 术创新、人才培训、市场拓展、管理咨询、质量管理等综合性 或专业性中小企业公共服务平台。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3" w:lineRule="exact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到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2022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年,中小企业服务体系进一步完善,服务中小微企业能 力进一步提升。</w:t>
            </w:r>
          </w:p>
        </w:tc>
      </w:tr>
    </w:tbl>
    <w:p>
      <w:pPr>
        <w:widowControl w:val="0"/>
        <w:spacing w:after="4999" w:line="1" w:lineRule="exact"/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2596" w:right="2011" w:bottom="2075" w:left="2130" w:header="2168" w:footer="1647" w:gutter="0"/>
          <w:cols w:space="720" w:num="1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-21</w:t>
      </w:r>
    </w:p>
    <w:p>
      <w:pPr>
        <w:pStyle w:val="4"/>
        <w:keepNext w:val="0"/>
        <w:keepLines w:val="0"/>
        <w:widowControl w:val="0"/>
        <w:pBdr>
          <w:top w:val="single" w:color="auto" w:sz="4" w:space="0"/>
          <w:bottom w:val="single" w:color="auto" w:sz="4" w:space="0"/>
        </w:pBdr>
        <w:shd w:val="clear" w:color="auto" w:fill="auto"/>
        <w:bidi w:val="0"/>
        <w:spacing w:before="0" w:after="0" w:line="518" w:lineRule="exact"/>
        <w:ind w:left="860" w:right="0" w:hanging="72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抄送：市委各部门，市人大办、政协办，宁波军分区，市中级法院、 检察院，各人民团体、民主党派、新闻单位，各区县（市）卫 星城市试点镇。</w:t>
      </w:r>
    </w:p>
    <w:p>
      <w:pPr>
        <w:pStyle w:val="4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tabs>
          <w:tab w:val="left" w:pos="4891"/>
        </w:tabs>
        <w:bidi w:val="0"/>
        <w:spacing w:before="0" w:after="0" w:line="518" w:lineRule="exact"/>
        <w:ind w:left="0" w:right="0" w:firstLine="14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宁波市人民政府办公厅</w:t>
      </w:r>
      <w:r>
        <w:rPr>
          <w:color w:val="000000"/>
          <w:spacing w:val="0"/>
          <w:w w:val="100"/>
          <w:positio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2019</w:t>
      </w:r>
      <w:r>
        <w:rPr>
          <w:color w:val="000000"/>
          <w:spacing w:val="0"/>
          <w:w w:val="100"/>
          <w:position w:val="0"/>
          <w:sz w:val="24"/>
          <w:szCs w:val="24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12</w:t>
      </w:r>
      <w:r>
        <w:rPr>
          <w:color w:val="000000"/>
          <w:spacing w:val="0"/>
          <w:w w:val="100"/>
          <w:position w:val="0"/>
          <w:sz w:val="24"/>
          <w:szCs w:val="24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6"/>
          <w:szCs w:val="26"/>
        </w:rPr>
        <w:t>31</w:t>
      </w:r>
      <w:r>
        <w:rPr>
          <w:color w:val="000000"/>
          <w:spacing w:val="0"/>
          <w:w w:val="100"/>
          <w:position w:val="0"/>
          <w:sz w:val="24"/>
          <w:szCs w:val="24"/>
        </w:rPr>
        <w:t>日印发</w:t>
      </w:r>
    </w:p>
    <w:p/>
    <w:sectPr>
      <w:footnotePr>
        <w:numFmt w:val="decimal"/>
      </w:footnotePr>
      <w:pgSz w:w="11900" w:h="16840"/>
      <w:pgMar w:top="11905" w:right="2011" w:bottom="2643" w:left="2130" w:header="11477" w:footer="2215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1582420</wp:posOffset>
              </wp:positionH>
              <wp:positionV relativeFrom="page">
                <wp:posOffset>9083675</wp:posOffset>
              </wp:positionV>
              <wp:extent cx="396240" cy="11049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3" o:spid="_x0000_s1026" o:spt="202" type="#_x0000_t202" style="position:absolute;left:0pt;margin-left:124.6pt;margin-top:715.25pt;height:8.7pt;width:31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I7xn&#10;2QAAAA0BAAAPAAAAAAAAAAEAIAAAACIAAABkcnMvZG93bnJldi54bWxQSwECFAAUAAAACACHTuJA&#10;GDNooq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1582420</wp:posOffset>
              </wp:positionH>
              <wp:positionV relativeFrom="page">
                <wp:posOffset>9083675</wp:posOffset>
              </wp:positionV>
              <wp:extent cx="396240" cy="11049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240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5" o:spid="_x0000_s1026" o:spt="202" type="#_x0000_t202" style="position:absolute;left:0pt;margin-left:124.6pt;margin-top:715.25pt;height:8.7pt;width:31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sI7xn&#10;2QAAAA0BAAAPAAAAAAAAAAEAIAAAACIAAABkcnMvZG93bnJldi54bWxQSwECFAAUAAAACACHTuJA&#10;WbZUqK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32B4D"/>
    <w:rsid w:val="6203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Heading #2|1"/>
    <w:basedOn w:val="1"/>
    <w:uiPriority w:val="0"/>
    <w:pPr>
      <w:widowControl w:val="0"/>
      <w:shd w:val="clear" w:color="auto" w:fill="auto"/>
      <w:spacing w:after="520" w:line="495" w:lineRule="exact"/>
      <w:jc w:val="center"/>
      <w:outlineLvl w:val="1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uiPriority w:val="0"/>
    <w:pPr>
      <w:widowControl w:val="0"/>
      <w:shd w:val="clear" w:color="auto" w:fill="auto"/>
      <w:ind w:left="6760"/>
    </w:pPr>
    <w:rPr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Header or footer|1"/>
    <w:basedOn w:val="1"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2021-08-24T09:09:00Z</dcterms:created>
  <dc:creator>刘明辉（奚妈）</dc:creator>
  <cp:lastModifiedBy>刘明辉（奚妈）</cp:lastModifiedBy>
  <dcterms:modified xsi:type="dcterms:W3CDTF">2021-08-24T09:09:48Z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A94D927175994686B0B961B414F798FA</vt:lpwstr>
  </property>
</Properties>
</file>