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40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2"/>
        <w:rPr>
          <w:rFonts w:ascii="黑体"/>
          <w:sz w:val="47"/>
        </w:rPr>
      </w:pPr>
      <w:r>
        <w:br w:type="column"/>
      </w:r>
    </w:p>
    <w:p>
      <w:pPr>
        <w:pStyle w:val="2"/>
        <w:ind w:left="400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</w:rPr>
        <w:t>小微企业园绩效评价参考指标</w:t>
      </w:r>
      <w:bookmarkEnd w:id="0"/>
    </w:p>
    <w:p>
      <w:pPr>
        <w:spacing w:after="0"/>
        <w:rPr>
          <w:rFonts w:hint="eastAsia" w:ascii="黑体" w:eastAsia="黑体"/>
        </w:rPr>
        <w:sectPr>
          <w:pgSz w:w="11910" w:h="16840"/>
          <w:pgMar w:top="1400" w:right="1" w:bottom="280" w:left="1400" w:header="720" w:footer="720" w:gutter="0"/>
          <w:cols w:equalWidth="0" w:num="2">
            <w:col w:w="1320" w:space="492"/>
            <w:col w:w="8697"/>
          </w:cols>
        </w:sect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217"/>
        <w:gridCol w:w="1067"/>
        <w:gridCol w:w="4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916" w:type="dxa"/>
          </w:tcPr>
          <w:p>
            <w:pPr>
              <w:pStyle w:val="6"/>
              <w:spacing w:before="9"/>
              <w:rPr>
                <w:rFonts w:ascii="黑体"/>
                <w:sz w:val="33"/>
              </w:rPr>
            </w:pPr>
          </w:p>
          <w:p>
            <w:pPr>
              <w:pStyle w:val="6"/>
              <w:ind w:left="355"/>
              <w:rPr>
                <w:rFonts w:hint="eastAsia" w:ascii="仿宋" w:eastAsia="仿宋"/>
                <w:b/>
                <w:sz w:val="30"/>
              </w:rPr>
            </w:pPr>
            <w:r>
              <w:rPr>
                <w:rFonts w:hint="eastAsia" w:ascii="仿宋" w:eastAsia="仿宋"/>
                <w:b/>
                <w:color w:val="333333"/>
                <w:sz w:val="30"/>
              </w:rPr>
              <w:t>评价指标</w:t>
            </w:r>
          </w:p>
        </w:tc>
        <w:tc>
          <w:tcPr>
            <w:tcW w:w="1217" w:type="dxa"/>
          </w:tcPr>
          <w:p>
            <w:pPr>
              <w:pStyle w:val="6"/>
              <w:spacing w:before="9"/>
              <w:rPr>
                <w:rFonts w:ascii="黑体"/>
                <w:sz w:val="33"/>
              </w:rPr>
            </w:pPr>
          </w:p>
          <w:p>
            <w:pPr>
              <w:pStyle w:val="6"/>
              <w:ind w:left="166" w:right="160"/>
              <w:jc w:val="center"/>
              <w:rPr>
                <w:rFonts w:hint="eastAsia" w:ascii="仿宋" w:eastAsia="仿宋"/>
                <w:b/>
                <w:sz w:val="30"/>
              </w:rPr>
            </w:pPr>
            <w:r>
              <w:rPr>
                <w:rFonts w:hint="eastAsia" w:ascii="仿宋" w:eastAsia="仿宋"/>
                <w:b/>
                <w:color w:val="333333"/>
                <w:sz w:val="30"/>
              </w:rPr>
              <w:t>单位</w:t>
            </w:r>
          </w:p>
        </w:tc>
        <w:tc>
          <w:tcPr>
            <w:tcW w:w="1067" w:type="dxa"/>
          </w:tcPr>
          <w:p>
            <w:pPr>
              <w:pStyle w:val="6"/>
              <w:spacing w:before="120"/>
              <w:ind w:left="232"/>
              <w:rPr>
                <w:rFonts w:hint="eastAsia" w:ascii="仿宋" w:eastAsia="仿宋"/>
                <w:b/>
                <w:sz w:val="30"/>
              </w:rPr>
            </w:pPr>
            <w:r>
              <w:rPr>
                <w:rFonts w:hint="eastAsia" w:ascii="仿宋" w:eastAsia="仿宋"/>
                <w:b/>
                <w:color w:val="333333"/>
                <w:w w:val="95"/>
                <w:sz w:val="30"/>
              </w:rPr>
              <w:t>参考</w:t>
            </w:r>
          </w:p>
          <w:p>
            <w:pPr>
              <w:pStyle w:val="6"/>
              <w:spacing w:before="240"/>
              <w:ind w:left="232"/>
              <w:rPr>
                <w:rFonts w:hint="eastAsia" w:ascii="仿宋" w:eastAsia="仿宋"/>
                <w:b/>
                <w:sz w:val="30"/>
              </w:rPr>
            </w:pPr>
            <w:r>
              <w:rPr>
                <w:rFonts w:hint="eastAsia" w:ascii="仿宋" w:eastAsia="仿宋"/>
                <w:b/>
                <w:color w:val="333333"/>
                <w:w w:val="95"/>
                <w:sz w:val="30"/>
              </w:rPr>
              <w:t>权重</w:t>
            </w:r>
          </w:p>
        </w:tc>
        <w:tc>
          <w:tcPr>
            <w:tcW w:w="4833" w:type="dxa"/>
          </w:tcPr>
          <w:p>
            <w:pPr>
              <w:pStyle w:val="6"/>
              <w:spacing w:before="9"/>
              <w:rPr>
                <w:rFonts w:ascii="黑体"/>
                <w:sz w:val="33"/>
              </w:rPr>
            </w:pPr>
          </w:p>
          <w:p>
            <w:pPr>
              <w:pStyle w:val="6"/>
              <w:ind w:left="1793" w:right="1785"/>
              <w:jc w:val="center"/>
              <w:rPr>
                <w:rFonts w:hint="eastAsia" w:ascii="仿宋" w:eastAsia="仿宋"/>
                <w:b/>
                <w:sz w:val="30"/>
              </w:rPr>
            </w:pPr>
            <w:r>
              <w:rPr>
                <w:rFonts w:hint="eastAsia" w:ascii="仿宋" w:eastAsia="仿宋"/>
                <w:b/>
                <w:color w:val="333333"/>
                <w:sz w:val="30"/>
              </w:rPr>
              <w:t>指标说明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916" w:type="dxa"/>
          </w:tcPr>
          <w:p>
            <w:pPr>
              <w:pStyle w:val="6"/>
              <w:spacing w:before="5"/>
              <w:rPr>
                <w:rFonts w:ascii="黑体"/>
                <w:sz w:val="29"/>
              </w:rPr>
            </w:pPr>
          </w:p>
          <w:p>
            <w:pPr>
              <w:pStyle w:val="6"/>
              <w:ind w:left="357"/>
              <w:rPr>
                <w:sz w:val="24"/>
              </w:rPr>
            </w:pPr>
            <w:r>
              <w:rPr>
                <w:sz w:val="24"/>
              </w:rPr>
              <w:t>1.亩均税收</w:t>
            </w:r>
          </w:p>
        </w:tc>
        <w:tc>
          <w:tcPr>
            <w:tcW w:w="1217" w:type="dxa"/>
          </w:tcPr>
          <w:p>
            <w:pPr>
              <w:pStyle w:val="6"/>
              <w:spacing w:before="5"/>
              <w:rPr>
                <w:rFonts w:ascii="黑体"/>
                <w:sz w:val="29"/>
              </w:rPr>
            </w:pPr>
          </w:p>
          <w:p>
            <w:pPr>
              <w:pStyle w:val="6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万元/亩</w:t>
            </w:r>
          </w:p>
        </w:tc>
        <w:tc>
          <w:tcPr>
            <w:tcW w:w="1067" w:type="dxa"/>
          </w:tcPr>
          <w:p>
            <w:pPr>
              <w:pStyle w:val="6"/>
              <w:spacing w:before="5"/>
              <w:rPr>
                <w:rFonts w:ascii="黑体"/>
                <w:sz w:val="29"/>
              </w:rPr>
            </w:pPr>
          </w:p>
          <w:p>
            <w:pPr>
              <w:pStyle w:val="6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3" w:type="dxa"/>
          </w:tcPr>
          <w:p>
            <w:pPr>
              <w:pStyle w:val="6"/>
              <w:spacing w:before="64" w:line="242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园区企业税收收入/</w:t>
            </w:r>
            <w:r>
              <w:rPr>
                <w:spacing w:val="-9"/>
                <w:sz w:val="24"/>
              </w:rPr>
              <w:t>实际用地面积。各市可根</w:t>
            </w:r>
            <w:r>
              <w:rPr>
                <w:sz w:val="24"/>
              </w:rPr>
              <w:t>据全省亩均税收情况制定本地的亩均税收基数。基数实行动态调整。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916" w:type="dxa"/>
          </w:tcPr>
          <w:p>
            <w:pPr>
              <w:pStyle w:val="6"/>
              <w:spacing w:before="4"/>
              <w:rPr>
                <w:rFonts w:ascii="黑体"/>
                <w:sz w:val="29"/>
              </w:rPr>
            </w:pPr>
          </w:p>
          <w:p>
            <w:pPr>
              <w:pStyle w:val="6"/>
              <w:ind w:left="357"/>
              <w:rPr>
                <w:sz w:val="24"/>
              </w:rPr>
            </w:pPr>
            <w:r>
              <w:rPr>
                <w:sz w:val="24"/>
              </w:rPr>
              <w:t>2.亩均产出</w:t>
            </w:r>
          </w:p>
        </w:tc>
        <w:tc>
          <w:tcPr>
            <w:tcW w:w="1217" w:type="dxa"/>
          </w:tcPr>
          <w:p>
            <w:pPr>
              <w:pStyle w:val="6"/>
              <w:spacing w:before="4"/>
              <w:rPr>
                <w:rFonts w:ascii="黑体"/>
                <w:sz w:val="29"/>
              </w:rPr>
            </w:pPr>
          </w:p>
          <w:p>
            <w:pPr>
              <w:pStyle w:val="6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万元/亩</w:t>
            </w:r>
          </w:p>
        </w:tc>
        <w:tc>
          <w:tcPr>
            <w:tcW w:w="1067" w:type="dxa"/>
          </w:tcPr>
          <w:p>
            <w:pPr>
              <w:pStyle w:val="6"/>
              <w:spacing w:before="4"/>
              <w:rPr>
                <w:rFonts w:ascii="黑体"/>
                <w:sz w:val="29"/>
              </w:rPr>
            </w:pPr>
          </w:p>
          <w:p>
            <w:pPr>
              <w:pStyle w:val="6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3" w:type="dxa"/>
          </w:tcPr>
          <w:p>
            <w:pPr>
              <w:pStyle w:val="6"/>
              <w:spacing w:before="63" w:line="242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园区企业销售收入/</w:t>
            </w:r>
            <w:r>
              <w:rPr>
                <w:spacing w:val="-9"/>
                <w:sz w:val="24"/>
              </w:rPr>
              <w:t>实际用地面积。各市可根</w:t>
            </w:r>
            <w:r>
              <w:rPr>
                <w:sz w:val="24"/>
              </w:rPr>
              <w:t>据全省亩均产出情况制定本地的亩均产出基数。基数实行动态调整。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91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17"/>
              </w:rPr>
            </w:pPr>
          </w:p>
          <w:p>
            <w:pPr>
              <w:pStyle w:val="6"/>
              <w:ind w:left="357"/>
              <w:rPr>
                <w:sz w:val="24"/>
              </w:rPr>
            </w:pPr>
            <w:r>
              <w:rPr>
                <w:sz w:val="24"/>
              </w:rPr>
              <w:t>3.企业培育</w:t>
            </w:r>
          </w:p>
        </w:tc>
        <w:tc>
          <w:tcPr>
            <w:tcW w:w="121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</w:tc>
        <w:tc>
          <w:tcPr>
            <w:tcW w:w="106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17"/>
              </w:rPr>
            </w:pPr>
          </w:p>
          <w:p>
            <w:pPr>
              <w:pStyle w:val="6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3" w:type="dxa"/>
          </w:tcPr>
          <w:p>
            <w:pPr>
              <w:pStyle w:val="6"/>
              <w:spacing w:before="55" w:line="242" w:lineRule="auto"/>
              <w:ind w:left="108" w:right="1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当年累计净增规模以上工业企业和限额以上</w:t>
            </w:r>
            <w:r>
              <w:rPr>
                <w:spacing w:val="-5"/>
                <w:sz w:val="24"/>
              </w:rPr>
              <w:t xml:space="preserve">服务业企业数，以每净增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家企业为基数。</w:t>
            </w:r>
            <w:r>
              <w:rPr>
                <w:spacing w:val="-1"/>
                <w:sz w:val="24"/>
              </w:rPr>
              <w:t xml:space="preserve">以统计部门核定为准。当年认定为高新技术企业、省科技型企业、隐形冠军等省级及以上有关部门认定的企业，可参照“小升规” </w:t>
            </w:r>
            <w:r>
              <w:rPr>
                <w:sz w:val="24"/>
              </w:rPr>
              <w:t>一定比例赋分。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916" w:type="dxa"/>
          </w:tcPr>
          <w:p>
            <w:pPr>
              <w:pStyle w:val="6"/>
              <w:spacing w:before="3"/>
              <w:rPr>
                <w:rFonts w:ascii="黑体"/>
                <w:sz w:val="29"/>
              </w:rPr>
            </w:pPr>
          </w:p>
          <w:p>
            <w:pPr>
              <w:pStyle w:val="6"/>
              <w:spacing w:before="1" w:line="242" w:lineRule="auto"/>
              <w:ind w:left="717" w:right="346" w:hanging="360"/>
              <w:rPr>
                <w:sz w:val="24"/>
              </w:rPr>
            </w:pPr>
            <w:r>
              <w:rPr>
                <w:sz w:val="24"/>
              </w:rPr>
              <w:t>4.高端要素集聚</w:t>
            </w:r>
          </w:p>
        </w:tc>
        <w:tc>
          <w:tcPr>
            <w:tcW w:w="121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6"/>
              <w:rPr>
                <w:rFonts w:ascii="黑体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6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6"/>
              <w:rPr>
                <w:rFonts w:ascii="黑体"/>
                <w:sz w:val="17"/>
              </w:rPr>
            </w:pPr>
          </w:p>
          <w:p>
            <w:pPr>
              <w:pStyle w:val="6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3" w:type="dxa"/>
          </w:tcPr>
          <w:p>
            <w:pPr>
              <w:pStyle w:val="6"/>
              <w:spacing w:before="63" w:line="242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当年新增高端人才数量，外资、创业投资机</w:t>
            </w:r>
            <w:r>
              <w:rPr>
                <w:spacing w:val="-9"/>
                <w:sz w:val="24"/>
              </w:rPr>
              <w:t>构、产业基金实到投资、企业固定资产投资、无形资产投资等，企业专利、省级及以上品牌拥有量等。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916" w:type="dxa"/>
          </w:tcPr>
          <w:p>
            <w:pPr>
              <w:pStyle w:val="6"/>
              <w:spacing w:before="11"/>
              <w:rPr>
                <w:rFonts w:ascii="黑体"/>
                <w:sz w:val="24"/>
              </w:rPr>
            </w:pPr>
          </w:p>
          <w:p>
            <w:pPr>
              <w:pStyle w:val="6"/>
              <w:spacing w:line="242" w:lineRule="auto"/>
              <w:ind w:left="717" w:right="346" w:hanging="360"/>
              <w:rPr>
                <w:sz w:val="24"/>
              </w:rPr>
            </w:pPr>
            <w:r>
              <w:rPr>
                <w:sz w:val="24"/>
              </w:rPr>
              <w:t>5.其他绩效指标</w:t>
            </w:r>
          </w:p>
        </w:tc>
        <w:tc>
          <w:tcPr>
            <w:tcW w:w="121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6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加分项</w:t>
            </w:r>
          </w:p>
        </w:tc>
        <w:tc>
          <w:tcPr>
            <w:tcW w:w="4833" w:type="dxa"/>
          </w:tcPr>
          <w:p>
            <w:pPr>
              <w:pStyle w:val="6"/>
              <w:spacing w:before="163" w:line="242" w:lineRule="auto"/>
              <w:ind w:left="108" w:right="152"/>
              <w:jc w:val="both"/>
              <w:rPr>
                <w:sz w:val="24"/>
              </w:rPr>
            </w:pPr>
            <w:r>
              <w:rPr>
                <w:sz w:val="24"/>
              </w:rPr>
              <w:t>各市可根据实际情况设定，如产业集聚度、绿色发展、就业贡献等能体现园区绩效的相关指标。</w:t>
            </w:r>
          </w:p>
        </w:tc>
      </w:tr>
    </w:tbl>
    <w:p>
      <w:pPr>
        <w:pStyle w:val="3"/>
        <w:spacing w:before="12"/>
        <w:rPr>
          <w:rFonts w:ascii="黑体"/>
          <w:sz w:val="6"/>
        </w:rPr>
      </w:pPr>
    </w:p>
    <w:p>
      <w:pPr>
        <w:spacing w:before="62"/>
        <w:ind w:left="400" w:right="0" w:firstLine="0"/>
        <w:jc w:val="left"/>
        <w:rPr>
          <w:sz w:val="28"/>
        </w:rPr>
      </w:pPr>
      <w:r>
        <w:rPr>
          <w:sz w:val="28"/>
        </w:rPr>
        <w:t>注:1.各市可根据实际情况设定权重，应该在省定参考权重 0.5 倍至</w:t>
      </w:r>
    </w:p>
    <w:p>
      <w:pPr>
        <w:spacing w:before="9" w:line="240" w:lineRule="auto"/>
        <w:rPr>
          <w:sz w:val="20"/>
        </w:rPr>
      </w:pPr>
    </w:p>
    <w:p>
      <w:pPr>
        <w:spacing w:before="0"/>
        <w:ind w:left="400" w:right="0" w:firstLine="0"/>
        <w:jc w:val="left"/>
        <w:rPr>
          <w:sz w:val="28"/>
        </w:rPr>
      </w:pPr>
      <w:r>
        <w:rPr>
          <w:sz w:val="28"/>
        </w:rPr>
        <w:t>2 倍范围内赋权重；</w:t>
      </w:r>
    </w:p>
    <w:p>
      <w:pPr>
        <w:spacing w:before="11" w:line="240" w:lineRule="auto"/>
        <w:rPr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1070"/>
        </w:tabs>
        <w:spacing w:before="0" w:after="0" w:line="424" w:lineRule="auto"/>
        <w:ind w:left="400" w:right="1528" w:firstLine="387"/>
        <w:jc w:val="left"/>
        <w:rPr>
          <w:sz w:val="28"/>
        </w:rPr>
      </w:pPr>
      <w:r>
        <w:rPr>
          <w:spacing w:val="-5"/>
          <w:sz w:val="28"/>
        </w:rPr>
        <w:t xml:space="preserve">前四项指标分别设置权重分值 </w:t>
      </w:r>
      <w:r>
        <w:rPr>
          <w:sz w:val="28"/>
        </w:rPr>
        <w:t>25</w:t>
      </w:r>
      <w:r>
        <w:rPr>
          <w:spacing w:val="-25"/>
          <w:sz w:val="28"/>
        </w:rPr>
        <w:t>、</w:t>
      </w:r>
      <w:r>
        <w:rPr>
          <w:sz w:val="28"/>
        </w:rPr>
        <w:t>25</w:t>
      </w:r>
      <w:r>
        <w:rPr>
          <w:spacing w:val="-25"/>
          <w:sz w:val="28"/>
        </w:rPr>
        <w:t>、</w:t>
      </w:r>
      <w:r>
        <w:rPr>
          <w:sz w:val="28"/>
        </w:rPr>
        <w:t>30</w:t>
      </w:r>
      <w:r>
        <w:rPr>
          <w:spacing w:val="-25"/>
          <w:sz w:val="28"/>
        </w:rPr>
        <w:t>、</w:t>
      </w:r>
      <w:r>
        <w:rPr>
          <w:sz w:val="28"/>
        </w:rPr>
        <w:t>20</w:t>
      </w:r>
      <w:r>
        <w:rPr>
          <w:spacing w:val="-28"/>
          <w:sz w:val="28"/>
        </w:rPr>
        <w:t xml:space="preserve"> 分，共计 </w:t>
      </w:r>
      <w:r>
        <w:rPr>
          <w:sz w:val="28"/>
        </w:rPr>
        <w:t>100</w:t>
      </w:r>
      <w:r>
        <w:rPr>
          <w:spacing w:val="-27"/>
          <w:sz w:val="28"/>
        </w:rPr>
        <w:t xml:space="preserve"> 分， </w:t>
      </w:r>
      <w:r>
        <w:rPr>
          <w:spacing w:val="-3"/>
          <w:sz w:val="28"/>
        </w:rPr>
        <w:t>单项计分最高不超过该项分值的两倍；</w:t>
      </w:r>
    </w:p>
    <w:p>
      <w:pPr>
        <w:pStyle w:val="7"/>
        <w:numPr>
          <w:ilvl w:val="0"/>
          <w:numId w:val="1"/>
        </w:numPr>
        <w:tabs>
          <w:tab w:val="left" w:pos="1064"/>
        </w:tabs>
        <w:spacing w:before="0" w:after="0" w:line="356" w:lineRule="exact"/>
        <w:ind w:left="1063" w:right="0" w:hanging="283"/>
        <w:jc w:val="left"/>
        <w:rPr>
          <w:sz w:val="28"/>
        </w:rPr>
      </w:pPr>
      <w:r>
        <w:rPr>
          <w:spacing w:val="-8"/>
          <w:sz w:val="28"/>
        </w:rPr>
        <w:t xml:space="preserve">加分项权重控制在 </w:t>
      </w:r>
      <w:r>
        <w:rPr>
          <w:sz w:val="28"/>
        </w:rPr>
        <w:t>20</w:t>
      </w:r>
      <w:r>
        <w:rPr>
          <w:spacing w:val="-15"/>
          <w:sz w:val="28"/>
        </w:rPr>
        <w:t xml:space="preserve"> 分之内。</w:t>
      </w:r>
    </w:p>
    <w:p>
      <w:pPr>
        <w:spacing w:after="0" w:line="356" w:lineRule="exact"/>
        <w:jc w:val="left"/>
        <w:rPr>
          <w:sz w:val="28"/>
        </w:rPr>
        <w:sectPr>
          <w:type w:val="continuous"/>
          <w:pgSz w:w="11910" w:h="16840"/>
          <w:pgMar w:top="1400" w:right="1" w:bottom="280" w:left="140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400" w:hanging="282"/>
        <w:jc w:val="left"/>
      </w:pPr>
      <w:rPr>
        <w:rFonts w:hint="default" w:ascii="宋体" w:hAnsi="宋体" w:eastAsia="宋体" w:cs="宋体"/>
        <w:spacing w:val="-74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440" w:hanging="33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8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96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75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53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2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89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2540"/>
    <w:rsid w:val="3D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5"/>
    <w:basedOn w:val="1"/>
    <w:next w:val="1"/>
    <w:qFormat/>
    <w:uiPriority w:val="1"/>
    <w:pPr>
      <w:ind w:left="377"/>
      <w:outlineLvl w:val="5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400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2021-09-03T02:28:00Z</dcterms:created>
  <dc:creator>刘明辉（奚妈）</dc:creator>
  <cp:lastModifiedBy>刘明辉（奚妈）</cp:lastModifiedBy>
  <dcterms:modified xsi:type="dcterms:W3CDTF">2021-09-03T02:29:20Z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63D9E249BAE9454998896E405ED030B8</vt:lpwstr>
  </property>
</Properties>
</file>