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8"/>
        </w:tabs>
        <w:spacing w:line="580" w:lineRule="exact"/>
        <w:jc w:val="center"/>
        <w:rPr>
          <w:rFonts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关于印发《宁波市电动汽车充电基础设施奖励补贴资金使用管理实施细则》的通知</w:t>
      </w:r>
    </w:p>
    <w:p>
      <w:pPr>
        <w:spacing w:line="560" w:lineRule="exact"/>
        <w:rPr>
          <w:rFonts w:ascii="仿宋_GB2312" w:hAnsi="??" w:cs="仿宋_GB2312"/>
          <w:szCs w:val="32"/>
        </w:rPr>
      </w:pPr>
    </w:p>
    <w:p>
      <w:pPr>
        <w:spacing w:line="560" w:lineRule="exact"/>
        <w:rPr>
          <w:rFonts w:ascii="仿宋_GB2312" w:hAnsi="??" w:cs="仿宋_GB2312"/>
          <w:szCs w:val="32"/>
        </w:rPr>
      </w:pPr>
      <w:r>
        <w:rPr>
          <w:rFonts w:hint="eastAsia" w:ascii="仿宋_GB2312" w:hAnsi="??" w:cs="仿宋_GB2312"/>
          <w:szCs w:val="32"/>
        </w:rPr>
        <w:t>各区县（市）发改局、财政局，开发区经发局、财政局，市直有关单位：</w:t>
      </w:r>
    </w:p>
    <w:p>
      <w:pPr>
        <w:spacing w:line="560" w:lineRule="exact"/>
        <w:ind w:firstLine="640" w:firstLineChars="200"/>
        <w:rPr>
          <w:rFonts w:ascii="仿宋_GB2312" w:hAnsi="仿宋_GB2312" w:cs="仿宋_GB2312"/>
          <w:kern w:val="0"/>
          <w:szCs w:val="32"/>
        </w:rPr>
      </w:pPr>
      <w:r>
        <w:rPr>
          <w:rFonts w:hint="eastAsia" w:ascii="仿宋_GB2312" w:hAnsi="??" w:cs="仿宋_GB2312"/>
          <w:szCs w:val="32"/>
        </w:rPr>
        <w:t>为实现碳达峰、碳中和有关工作目标，鼓励我市电动汽车充电基础设施建设，促进电动汽车推广应用和产业发展，根据</w:t>
      </w:r>
      <w:r>
        <w:rPr>
          <w:rFonts w:hint="eastAsia" w:ascii="仿宋_GB2312" w:hAnsi="??" w:cs="仿宋_GB2312"/>
          <w:color w:val="000000"/>
          <w:szCs w:val="32"/>
        </w:rPr>
        <w:t>国务院办公厅《关于加快电动汽车充电基础设施建设的指导意见》（国办发〔2015〕73号）、财政部</w:t>
      </w:r>
      <w:r>
        <w:rPr>
          <w:rFonts w:hint="eastAsia" w:ascii="仿宋_GB2312" w:hAnsi="仿宋_GB2312" w:cs="仿宋_GB2312"/>
          <w:color w:val="000000"/>
          <w:kern w:val="0"/>
          <w:szCs w:val="32"/>
        </w:rPr>
        <w:t>《</w:t>
      </w:r>
      <w:r>
        <w:rPr>
          <w:rFonts w:hint="eastAsia" w:ascii="仿宋_GB2312" w:hAnsi="仿宋_GB2312" w:cs="仿宋_GB2312"/>
          <w:color w:val="000000"/>
          <w:szCs w:val="32"/>
          <w:shd w:val="clear" w:color="auto" w:fill="FFFFFF"/>
        </w:rPr>
        <w:t>关于进一步完善新能源汽车推广应用财政补贴政策的通知》（财建〔2019〕138号）、</w:t>
      </w:r>
      <w:r>
        <w:rPr>
          <w:rFonts w:hint="eastAsia" w:ascii="仿宋_GB2312" w:hAnsi="??" w:cs="仿宋_GB2312"/>
          <w:color w:val="000000"/>
          <w:szCs w:val="32"/>
        </w:rPr>
        <w:t>宁波市人民政府办公厅《关于印发宁波市电动汽车充电基础设施建设实施方案的通知》（甬政办发〔2017〕82号）</w:t>
      </w:r>
      <w:r>
        <w:rPr>
          <w:rFonts w:hint="eastAsia" w:ascii="仿宋_GB2312" w:hAnsi="??" w:cs="仿宋_GB2312"/>
          <w:szCs w:val="32"/>
        </w:rPr>
        <w:t>等文件精神，规范</w:t>
      </w:r>
      <w:r>
        <w:rPr>
          <w:rFonts w:hint="eastAsia" w:ascii="仿宋_GB2312" w:hAnsi="仿宋_GB2312" w:cs="仿宋_GB2312"/>
          <w:kern w:val="0"/>
          <w:szCs w:val="32"/>
        </w:rPr>
        <w:t>充电基础设施奖励补贴资金使用和</w:t>
      </w:r>
      <w:r>
        <w:rPr>
          <w:rFonts w:hint="eastAsia" w:ascii="仿宋_GB2312"/>
          <w:kern w:val="0"/>
          <w:szCs w:val="32"/>
        </w:rPr>
        <w:t>管理，提高资金使用效益，我们</w:t>
      </w:r>
      <w:r>
        <w:rPr>
          <w:rFonts w:hint="eastAsia" w:ascii="仿宋_GB2312" w:hAnsi="??" w:cs="仿宋_GB2312"/>
          <w:szCs w:val="32"/>
        </w:rPr>
        <w:t>制定了《</w:t>
      </w:r>
      <w:r>
        <w:rPr>
          <w:rFonts w:hint="eastAsia" w:ascii="仿宋_GB2312" w:hAnsi="仿宋_GB2312" w:cs="仿宋_GB2312"/>
          <w:kern w:val="0"/>
          <w:szCs w:val="32"/>
        </w:rPr>
        <w:t>宁波市电动汽车充电基础设施奖励补贴资金使用管理实施细则</w:t>
      </w:r>
      <w:r>
        <w:rPr>
          <w:rFonts w:hint="eastAsia" w:ascii="仿宋_GB2312" w:hAnsi="??" w:cs="仿宋_GB2312"/>
          <w:szCs w:val="32"/>
        </w:rPr>
        <w:t>》，现印发给你们，请遵照执行。</w:t>
      </w:r>
    </w:p>
    <w:p>
      <w:pPr>
        <w:spacing w:line="560" w:lineRule="exact"/>
        <w:ind w:firstLine="640" w:firstLineChars="200"/>
        <w:jc w:val="left"/>
        <w:rPr>
          <w:rFonts w:ascii="仿宋_GB2312" w:hAnsi="??" w:cs="仿宋_GB2312"/>
          <w:szCs w:val="32"/>
        </w:rPr>
      </w:pPr>
    </w:p>
    <w:p>
      <w:pPr>
        <w:pStyle w:val="2"/>
      </w:pPr>
    </w:p>
    <w:p>
      <w:pPr>
        <w:pStyle w:val="3"/>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宁波市能源局                   宁波市财政局</w:t>
      </w:r>
    </w:p>
    <w:p>
      <w:pPr>
        <w:adjustRightInd w:val="0"/>
        <w:snapToGrid w:val="0"/>
        <w:spacing w:line="560" w:lineRule="exact"/>
        <w:rPr>
          <w:rFonts w:ascii="仿宋_GB2312" w:hAnsi="仿宋_GB2312" w:cs="仿宋_GB2312"/>
          <w:color w:val="000000"/>
          <w:szCs w:val="32"/>
        </w:rPr>
      </w:pPr>
    </w:p>
    <w:p>
      <w:pPr>
        <w:adjustRightInd w:val="0"/>
        <w:snapToGrid w:val="0"/>
        <w:spacing w:line="560" w:lineRule="exact"/>
        <w:rPr>
          <w:rFonts w:ascii="仿宋_GB2312" w:hAnsi="仿宋_GB2312" w:cs="仿宋_GB2312"/>
          <w:color w:val="000000"/>
          <w:szCs w:val="32"/>
        </w:rPr>
      </w:pPr>
    </w:p>
    <w:p>
      <w:pPr>
        <w:adjustRightInd w:val="0"/>
        <w:snapToGrid w:val="0"/>
        <w:spacing w:line="560" w:lineRule="exact"/>
        <w:rPr>
          <w:rFonts w:ascii="仿宋_GB2312" w:hAnsi="仿宋_GB2312" w:cs="仿宋_GB2312"/>
          <w:color w:val="000000"/>
          <w:szCs w:val="32"/>
        </w:rPr>
      </w:pPr>
    </w:p>
    <w:p>
      <w:pPr>
        <w:adjustRightInd w:val="0"/>
        <w:snapToGrid w:val="0"/>
        <w:spacing w:line="560" w:lineRule="exact"/>
        <w:rPr>
          <w:rFonts w:ascii="仿宋_GB2312" w:hAnsi="仿宋_GB2312" w:cs="仿宋_GB2312"/>
          <w:color w:val="000000"/>
          <w:szCs w:val="32"/>
        </w:rPr>
      </w:pPr>
    </w:p>
    <w:p>
      <w:pPr>
        <w:spacing w:line="560" w:lineRule="exact"/>
        <w:ind w:firstLine="440" w:firstLineChars="1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宁波市电动汽车充电基础设施奖励补贴</w:t>
      </w:r>
    </w:p>
    <w:p>
      <w:pPr>
        <w:spacing w:line="560" w:lineRule="exact"/>
        <w:ind w:firstLine="440" w:firstLineChars="1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资金使用管理实施细则</w:t>
      </w:r>
    </w:p>
    <w:p>
      <w:pPr>
        <w:pStyle w:val="8"/>
        <w:spacing w:line="560" w:lineRule="exact"/>
      </w:pPr>
    </w:p>
    <w:p>
      <w:pPr>
        <w:numPr>
          <w:ilvl w:val="0"/>
          <w:numId w:val="1"/>
        </w:numPr>
        <w:spacing w:line="560" w:lineRule="exact"/>
        <w:jc w:val="center"/>
        <w:rPr>
          <w:rFonts w:ascii="黑体" w:hAnsi="黑体" w:eastAsia="黑体"/>
          <w:kern w:val="0"/>
          <w:szCs w:val="32"/>
        </w:rPr>
      </w:pPr>
      <w:r>
        <w:rPr>
          <w:rFonts w:hint="eastAsia" w:ascii="黑体" w:hAnsi="黑体" w:eastAsia="黑体"/>
          <w:kern w:val="0"/>
          <w:szCs w:val="32"/>
        </w:rPr>
        <w:t>总  则</w:t>
      </w:r>
    </w:p>
    <w:p>
      <w:pPr>
        <w:spacing w:line="560" w:lineRule="exact"/>
        <w:ind w:firstLine="640" w:firstLineChars="200"/>
        <w:jc w:val="left"/>
        <w:rPr>
          <w:rFonts w:ascii="仿宋_GB2312" w:hAnsi="??" w:cs="仿宋_GB2312"/>
          <w:szCs w:val="32"/>
        </w:rPr>
      </w:pPr>
      <w:r>
        <w:rPr>
          <w:rFonts w:hint="eastAsia" w:ascii="黑体" w:hAnsi="黑体" w:eastAsia="黑体"/>
          <w:kern w:val="0"/>
          <w:szCs w:val="32"/>
        </w:rPr>
        <w:t>第一条</w:t>
      </w:r>
      <w:r>
        <w:rPr>
          <w:rFonts w:hint="eastAsia" w:ascii="仿宋_GB2312"/>
          <w:kern w:val="0"/>
          <w:szCs w:val="32"/>
        </w:rPr>
        <w:t xml:space="preserve">  </w:t>
      </w:r>
      <w:r>
        <w:rPr>
          <w:rFonts w:hint="eastAsia" w:ascii="仿宋_GB2312" w:hAnsi="??" w:cs="仿宋_GB2312"/>
          <w:szCs w:val="32"/>
        </w:rPr>
        <w:t>为实现碳达峰、碳中和有关工作目标，鼓励我市电动汽车充电基础设施建设，促进电动汽车推广应用和产业发展，根据</w:t>
      </w:r>
      <w:r>
        <w:rPr>
          <w:rFonts w:hint="eastAsia" w:ascii="仿宋_GB2312" w:hAnsi="??" w:cs="仿宋_GB2312"/>
          <w:color w:val="000000"/>
          <w:szCs w:val="32"/>
        </w:rPr>
        <w:t>国务院办公厅《关于加快电动汽车充电基础设施建设的指导意见》（国办发〔2015〕73号）、财政部</w:t>
      </w:r>
      <w:r>
        <w:rPr>
          <w:rFonts w:hint="eastAsia" w:ascii="仿宋_GB2312" w:hAnsi="仿宋_GB2312" w:cs="仿宋_GB2312"/>
          <w:color w:val="000000"/>
          <w:kern w:val="0"/>
          <w:szCs w:val="32"/>
        </w:rPr>
        <w:t>《</w:t>
      </w:r>
      <w:r>
        <w:rPr>
          <w:rFonts w:hint="eastAsia" w:ascii="仿宋_GB2312" w:hAnsi="仿宋_GB2312" w:cs="仿宋_GB2312"/>
          <w:color w:val="000000"/>
          <w:szCs w:val="32"/>
          <w:shd w:val="clear" w:color="auto" w:fill="FFFFFF"/>
        </w:rPr>
        <w:t>关于进一步完善新能源汽车推广应用财政补贴政策的通知》（财建〔2019〕138号）、</w:t>
      </w:r>
      <w:r>
        <w:rPr>
          <w:rFonts w:hint="eastAsia" w:ascii="仿宋_GB2312" w:hAnsi="??" w:cs="仿宋_GB2312"/>
          <w:color w:val="000000"/>
          <w:szCs w:val="32"/>
        </w:rPr>
        <w:t>宁波市人民政府办公厅《关于印发宁波市电动汽车充电基础设施建设实施方案的通知》（甬政办发〔2017〕82号）</w:t>
      </w:r>
      <w:r>
        <w:rPr>
          <w:rFonts w:hint="eastAsia" w:ascii="仿宋_GB2312" w:hAnsi="??" w:cs="仿宋_GB2312"/>
          <w:szCs w:val="32"/>
        </w:rPr>
        <w:t>等文件精神，规范</w:t>
      </w:r>
      <w:r>
        <w:rPr>
          <w:rFonts w:hint="eastAsia" w:ascii="仿宋_GB2312" w:hAnsi="仿宋_GB2312" w:cs="仿宋_GB2312"/>
          <w:kern w:val="0"/>
          <w:szCs w:val="32"/>
        </w:rPr>
        <w:t>充电基础设施奖励补贴资金</w:t>
      </w:r>
      <w:r>
        <w:rPr>
          <w:rFonts w:hint="eastAsia" w:ascii="仿宋_GB2312"/>
          <w:kern w:val="0"/>
          <w:szCs w:val="32"/>
        </w:rPr>
        <w:t>（以下简称奖补资金）</w:t>
      </w:r>
      <w:r>
        <w:rPr>
          <w:rFonts w:hint="eastAsia" w:ascii="仿宋_GB2312" w:hAnsi="仿宋_GB2312" w:cs="仿宋_GB2312"/>
          <w:kern w:val="0"/>
          <w:szCs w:val="32"/>
        </w:rPr>
        <w:t>使用和</w:t>
      </w:r>
      <w:r>
        <w:rPr>
          <w:rFonts w:hint="eastAsia" w:ascii="仿宋_GB2312"/>
          <w:kern w:val="0"/>
          <w:szCs w:val="32"/>
        </w:rPr>
        <w:t>管理，提高奖资金使用效益，</w:t>
      </w:r>
      <w:r>
        <w:rPr>
          <w:rFonts w:hint="eastAsia" w:ascii="仿宋_GB2312" w:hAnsi="??" w:cs="仿宋_GB2312"/>
          <w:szCs w:val="32"/>
        </w:rPr>
        <w:t>制定本办法。</w:t>
      </w:r>
    </w:p>
    <w:p>
      <w:pPr>
        <w:adjustRightInd w:val="0"/>
        <w:snapToGrid w:val="0"/>
        <w:spacing w:line="560" w:lineRule="exact"/>
        <w:ind w:firstLine="640" w:firstLineChars="200"/>
        <w:jc w:val="left"/>
        <w:rPr>
          <w:rFonts w:ascii="仿宋_GB2312" w:cs="仿宋_GB2312"/>
          <w:color w:val="FF0000"/>
          <w:szCs w:val="32"/>
        </w:rPr>
      </w:pPr>
      <w:r>
        <w:rPr>
          <w:rFonts w:hint="eastAsia" w:ascii="黑体" w:hAnsi="黑体" w:eastAsia="黑体"/>
          <w:kern w:val="0"/>
          <w:szCs w:val="32"/>
        </w:rPr>
        <w:t>第二条</w:t>
      </w:r>
      <w:r>
        <w:rPr>
          <w:rFonts w:hint="eastAsia" w:ascii="仿宋_GB2312"/>
          <w:kern w:val="0"/>
          <w:szCs w:val="32"/>
        </w:rPr>
        <w:t xml:space="preserve">  </w:t>
      </w:r>
      <w:r>
        <w:rPr>
          <w:rFonts w:hint="eastAsia" w:ascii="仿宋_GB2312" w:cs="仿宋_GB2312"/>
          <w:szCs w:val="32"/>
        </w:rPr>
        <w:t>本办法所称</w:t>
      </w:r>
      <w:r>
        <w:rPr>
          <w:rFonts w:hint="eastAsia" w:ascii="仿宋_GB2312" w:hAnsi="??" w:cs="仿宋_GB2312"/>
          <w:szCs w:val="32"/>
        </w:rPr>
        <w:t>电动汽车充电基础设施</w:t>
      </w:r>
      <w:r>
        <w:rPr>
          <w:rFonts w:hint="eastAsia" w:ascii="仿宋_GB2312" w:cs="仿宋_GB2312"/>
          <w:szCs w:val="32"/>
        </w:rPr>
        <w:t>是指</w:t>
      </w:r>
      <w:r>
        <w:rPr>
          <w:rFonts w:hint="eastAsia" w:ascii="仿宋_GB2312"/>
          <w:bCs/>
          <w:snapToGrid w:val="0"/>
          <w:spacing w:val="-4"/>
          <w:szCs w:val="32"/>
        </w:rPr>
        <w:t>为新能源电动汽车（包括电动乘用车、客车、货车、专用车、公交车和超级电容公交车等各类电动汽车）提供电能补给的各类充电设施和换电设施，</w:t>
      </w:r>
      <w:r>
        <w:rPr>
          <w:rFonts w:hint="eastAsia"/>
          <w:color w:val="000000"/>
          <w:szCs w:val="32"/>
        </w:rPr>
        <w:t>是新型的城市基础设施。</w:t>
      </w:r>
    </w:p>
    <w:p>
      <w:pPr>
        <w:adjustRightInd w:val="0"/>
        <w:snapToGrid w:val="0"/>
        <w:spacing w:line="560" w:lineRule="exact"/>
        <w:ind w:firstLine="640" w:firstLineChars="200"/>
        <w:jc w:val="left"/>
        <w:rPr>
          <w:rFonts w:ascii="仿宋_GB2312"/>
          <w:kern w:val="0"/>
          <w:szCs w:val="32"/>
        </w:rPr>
      </w:pPr>
      <w:r>
        <w:rPr>
          <w:rFonts w:hint="eastAsia" w:ascii="黑体" w:hAnsi="黑体" w:eastAsia="黑体"/>
          <w:kern w:val="0"/>
          <w:szCs w:val="32"/>
        </w:rPr>
        <w:t xml:space="preserve">第三条 </w:t>
      </w:r>
      <w:r>
        <w:rPr>
          <w:rFonts w:hint="eastAsia" w:ascii="仿宋_GB2312" w:hAnsi="仿宋_GB2312" w:cs="仿宋_GB2312"/>
          <w:kern w:val="0"/>
          <w:szCs w:val="32"/>
        </w:rPr>
        <w:t xml:space="preserve"> </w:t>
      </w:r>
      <w:r>
        <w:rPr>
          <w:rFonts w:hint="eastAsia" w:ascii="仿宋_GB2312" w:cs="仿宋_GB2312"/>
          <w:szCs w:val="32"/>
        </w:rPr>
        <w:t>本办法所称奖补资金</w:t>
      </w:r>
      <w:r>
        <w:rPr>
          <w:rFonts w:hint="eastAsia" w:ascii="仿宋_GB2312" w:hAnsi="仿宋_GB2312" w:cs="仿宋_GB2312"/>
          <w:kern w:val="0"/>
          <w:szCs w:val="32"/>
        </w:rPr>
        <w:t>由</w:t>
      </w:r>
      <w:r>
        <w:rPr>
          <w:rFonts w:hint="eastAsia" w:ascii="仿宋_GB2312" w:hAnsi="仿宋_GB2312" w:cs="仿宋_GB2312"/>
          <w:szCs w:val="32"/>
        </w:rPr>
        <w:t>国</w:t>
      </w:r>
      <w:r>
        <w:rPr>
          <w:rFonts w:hint="eastAsia" w:ascii="仿宋_GB2312"/>
          <w:szCs w:val="32"/>
        </w:rPr>
        <w:t>家充电设施建设奖励资金和市级财政预算资金组成。</w:t>
      </w:r>
      <w:r>
        <w:rPr>
          <w:rFonts w:hint="eastAsia" w:ascii="仿宋_GB2312" w:hAnsi="仿宋_GB2312" w:cs="仿宋_GB2312"/>
          <w:kern w:val="0"/>
          <w:szCs w:val="32"/>
        </w:rPr>
        <w:t>资金专项</w:t>
      </w:r>
      <w:r>
        <w:rPr>
          <w:rFonts w:hint="eastAsia" w:ascii="仿宋_GB2312"/>
          <w:kern w:val="0"/>
          <w:szCs w:val="32"/>
        </w:rPr>
        <w:t>用于引导</w:t>
      </w:r>
      <w:r>
        <w:rPr>
          <w:rFonts w:hint="eastAsia" w:ascii="仿宋_GB2312" w:hAnsi="仿宋_GB2312" w:cs="仿宋_GB2312"/>
          <w:szCs w:val="32"/>
        </w:rPr>
        <w:t>支持充电</w:t>
      </w:r>
      <w:r>
        <w:rPr>
          <w:rFonts w:hint="eastAsia" w:ascii="仿宋_GB2312" w:hAnsi="仿宋_GB2312" w:cs="仿宋_GB2312"/>
          <w:color w:val="FF0000"/>
          <w:szCs w:val="32"/>
        </w:rPr>
        <w:t>基础</w:t>
      </w:r>
      <w:r>
        <w:rPr>
          <w:rFonts w:hint="eastAsia" w:ascii="仿宋_GB2312" w:hAnsi="仿宋_GB2312" w:cs="仿宋_GB2312"/>
          <w:szCs w:val="32"/>
        </w:rPr>
        <w:t>设施建设、运营、改造升级以及</w:t>
      </w:r>
      <w:r>
        <w:rPr>
          <w:rFonts w:hint="eastAsia" w:ascii="仿宋_GB2312" w:hAnsi="??" w:cs="仿宋_GB2312"/>
          <w:szCs w:val="32"/>
        </w:rPr>
        <w:t>充电设施数据采集与监测市级平台（以下简称市级平台）建设运营</w:t>
      </w:r>
      <w:r>
        <w:rPr>
          <w:rFonts w:hint="eastAsia" w:ascii="仿宋_GB2312" w:hAnsi="仿宋_GB2312" w:cs="仿宋_GB2312"/>
          <w:szCs w:val="32"/>
        </w:rPr>
        <w:t>等相关领域。</w:t>
      </w:r>
    </w:p>
    <w:p>
      <w:pPr>
        <w:adjustRightInd w:val="0"/>
        <w:snapToGrid w:val="0"/>
        <w:spacing w:line="560" w:lineRule="exact"/>
        <w:ind w:firstLine="640" w:firstLineChars="200"/>
        <w:jc w:val="left"/>
        <w:rPr>
          <w:rFonts w:ascii="仿宋_GB2312" w:hAnsi="宋体" w:cs="仿宋_GB2312"/>
          <w:szCs w:val="32"/>
        </w:rPr>
      </w:pPr>
      <w:r>
        <w:rPr>
          <w:rFonts w:hint="eastAsia" w:ascii="仿宋_GB2312" w:hAnsi="仿宋_GB2312" w:cs="仿宋_GB2312"/>
          <w:szCs w:val="32"/>
        </w:rPr>
        <w:t>国</w:t>
      </w:r>
      <w:r>
        <w:rPr>
          <w:rFonts w:hint="eastAsia" w:ascii="仿宋_GB2312"/>
          <w:szCs w:val="32"/>
        </w:rPr>
        <w:t>家充电设施建设奖励资金</w:t>
      </w:r>
      <w:r>
        <w:rPr>
          <w:rFonts w:hint="eastAsia" w:ascii="仿宋_GB2312" w:cs="仿宋_GB2312"/>
          <w:szCs w:val="32"/>
        </w:rPr>
        <w:t>是指</w:t>
      </w:r>
      <w:r>
        <w:rPr>
          <w:rFonts w:hint="eastAsia" w:ascii="仿宋_GB2312" w:hAnsi="仿宋_GB2312" w:cs="仿宋_GB2312"/>
          <w:szCs w:val="32"/>
        </w:rPr>
        <w:t>中央财政分配下达用于兑现我市</w:t>
      </w:r>
      <w:r>
        <w:rPr>
          <w:rFonts w:hint="eastAsia" w:ascii="仿宋_GB2312"/>
          <w:szCs w:val="32"/>
        </w:rPr>
        <w:t>已建成投运的公用和专用</w:t>
      </w:r>
      <w:r>
        <w:rPr>
          <w:rFonts w:hint="eastAsia" w:ascii="仿宋_GB2312" w:hAnsi="??" w:cs="仿宋_GB2312"/>
          <w:szCs w:val="32"/>
        </w:rPr>
        <w:t>充电设施设备投资</w:t>
      </w:r>
      <w:r>
        <w:rPr>
          <w:rFonts w:hint="eastAsia" w:ascii="仿宋_GB2312" w:hAnsi="仿宋_GB2312" w:cs="仿宋_GB2312"/>
          <w:szCs w:val="32"/>
        </w:rPr>
        <w:t>奖励</w:t>
      </w:r>
      <w:r>
        <w:rPr>
          <w:rFonts w:hint="eastAsia" w:ascii="仿宋_GB2312" w:hAnsi="??" w:cs="仿宋_GB2312"/>
          <w:szCs w:val="32"/>
        </w:rPr>
        <w:t>补贴</w:t>
      </w:r>
      <w:r>
        <w:rPr>
          <w:rFonts w:hint="eastAsia" w:ascii="仿宋_GB2312" w:hAnsi="仿宋_GB2312" w:cs="仿宋_GB2312"/>
          <w:szCs w:val="32"/>
        </w:rPr>
        <w:t>资金；</w:t>
      </w:r>
      <w:r>
        <w:rPr>
          <w:rFonts w:hint="eastAsia" w:ascii="仿宋_GB2312"/>
          <w:szCs w:val="32"/>
        </w:rPr>
        <w:t>市级财政资金</w:t>
      </w:r>
      <w:r>
        <w:rPr>
          <w:rFonts w:hint="eastAsia" w:ascii="仿宋_GB2312" w:cs="仿宋_GB2312"/>
          <w:szCs w:val="32"/>
        </w:rPr>
        <w:t>是指市财政一般公共预算安排的纳入市能源局部门预算管理，用于支持</w:t>
      </w:r>
      <w:r>
        <w:rPr>
          <w:rFonts w:hint="eastAsia" w:ascii="仿宋_GB2312" w:hAnsi="??" w:cs="仿宋_GB2312"/>
          <w:szCs w:val="32"/>
        </w:rPr>
        <w:t>我市</w:t>
      </w:r>
      <w:r>
        <w:rPr>
          <w:rFonts w:hint="eastAsia" w:ascii="仿宋_GB2312"/>
          <w:szCs w:val="32"/>
        </w:rPr>
        <w:t>公用充电设施设备</w:t>
      </w:r>
      <w:r>
        <w:rPr>
          <w:rFonts w:hint="eastAsia" w:ascii="仿宋_GB2312" w:hAnsi="??" w:cs="仿宋_GB2312"/>
          <w:szCs w:val="32"/>
        </w:rPr>
        <w:t>运营度电奖励补贴与市级平台</w:t>
      </w:r>
      <w:r>
        <w:rPr>
          <w:rFonts w:hint="eastAsia" w:ascii="仿宋_GB2312" w:hAnsi="仿宋_GB2312" w:cs="仿宋_GB2312"/>
          <w:szCs w:val="32"/>
        </w:rPr>
        <w:t>运营维护</w:t>
      </w:r>
      <w:r>
        <w:rPr>
          <w:rFonts w:hint="eastAsia" w:ascii="仿宋_GB2312" w:hAnsi="??" w:cs="仿宋_GB2312"/>
          <w:szCs w:val="32"/>
        </w:rPr>
        <w:t>的</w:t>
      </w:r>
      <w:r>
        <w:rPr>
          <w:rFonts w:hint="eastAsia" w:ascii="仿宋_GB2312" w:cs="仿宋_GB2312"/>
          <w:szCs w:val="32"/>
        </w:rPr>
        <w:t>市新能源电动汽车充电基础设施奖补资金</w:t>
      </w:r>
      <w:r>
        <w:rPr>
          <w:rFonts w:hint="eastAsia" w:ascii="仿宋_GB2312" w:hAnsi="宋体" w:cs="仿宋_GB2312"/>
          <w:szCs w:val="32"/>
        </w:rPr>
        <w:t>。</w:t>
      </w:r>
    </w:p>
    <w:p>
      <w:pPr>
        <w:spacing w:line="560" w:lineRule="exact"/>
        <w:ind w:firstLine="640"/>
        <w:jc w:val="left"/>
        <w:rPr>
          <w:rFonts w:ascii="仿宋_GB2312" w:hAnsi="仿宋_GB2312" w:cs="仿宋_GB2312"/>
          <w:kern w:val="0"/>
          <w:szCs w:val="32"/>
        </w:rPr>
      </w:pPr>
      <w:r>
        <w:rPr>
          <w:rFonts w:hint="eastAsia" w:ascii="黑体" w:hAnsi="黑体" w:eastAsia="黑体"/>
          <w:kern w:val="0"/>
          <w:szCs w:val="32"/>
        </w:rPr>
        <w:t>第四条</w:t>
      </w:r>
      <w:r>
        <w:rPr>
          <w:rFonts w:hint="eastAsia" w:ascii="仿宋_GB2312" w:hAnsi="仿宋_GB2312" w:cs="仿宋_GB2312"/>
          <w:kern w:val="0"/>
          <w:szCs w:val="32"/>
        </w:rPr>
        <w:t xml:space="preserve">  </w:t>
      </w:r>
      <w:r>
        <w:rPr>
          <w:rFonts w:hint="eastAsia" w:ascii="仿宋_GB2312" w:cs="仿宋_GB2312"/>
          <w:szCs w:val="32"/>
        </w:rPr>
        <w:t>本办法所称</w:t>
      </w:r>
      <w:r>
        <w:rPr>
          <w:rFonts w:hint="eastAsia" w:ascii="仿宋_GB2312" w:hAnsi="??" w:cs="仿宋_GB2312"/>
          <w:szCs w:val="32"/>
        </w:rPr>
        <w:t>市级平台是指</w:t>
      </w:r>
      <w:r>
        <w:rPr>
          <w:rFonts w:hint="eastAsia" w:ascii="仿宋_GB2312"/>
          <w:bCs/>
          <w:snapToGrid w:val="0"/>
          <w:spacing w:val="-4"/>
          <w:szCs w:val="32"/>
        </w:rPr>
        <w:t>按照政务服务、公共服务和互联互通的要求建设运行的公益性的市级充电设施公共数据采集与监测服务平台</w:t>
      </w:r>
      <w:r>
        <w:rPr>
          <w:rFonts w:hint="eastAsia" w:ascii="仿宋_GB2312" w:hAnsi="??" w:cs="仿宋_GB2312"/>
          <w:szCs w:val="32"/>
        </w:rPr>
        <w:t>（以下简称市级平台）</w:t>
      </w:r>
      <w:r>
        <w:rPr>
          <w:rFonts w:hint="eastAsia" w:ascii="仿宋_GB2312"/>
          <w:bCs/>
          <w:snapToGrid w:val="0"/>
          <w:spacing w:val="-4"/>
          <w:szCs w:val="32"/>
        </w:rPr>
        <w:t>。</w:t>
      </w:r>
    </w:p>
    <w:p>
      <w:pPr>
        <w:spacing w:line="560" w:lineRule="exact"/>
        <w:ind w:firstLine="640"/>
        <w:jc w:val="left"/>
        <w:rPr>
          <w:rFonts w:ascii="仿宋_GB2312"/>
          <w:kern w:val="0"/>
          <w:szCs w:val="32"/>
        </w:rPr>
      </w:pPr>
      <w:r>
        <w:rPr>
          <w:rFonts w:hint="eastAsia" w:ascii="黑体" w:hAnsi="黑体" w:eastAsia="黑体"/>
          <w:kern w:val="0"/>
          <w:szCs w:val="32"/>
        </w:rPr>
        <w:t xml:space="preserve">第五条  </w:t>
      </w:r>
      <w:r>
        <w:rPr>
          <w:rFonts w:hint="eastAsia" w:ascii="仿宋_GB2312"/>
          <w:kern w:val="0"/>
          <w:szCs w:val="32"/>
        </w:rPr>
        <w:t>奖补资金由市财政局会同市能源局共同负责管理，按照分工各司其职、各负其责。</w:t>
      </w:r>
    </w:p>
    <w:p>
      <w:pPr>
        <w:spacing w:line="560" w:lineRule="exact"/>
        <w:ind w:firstLine="641"/>
        <w:jc w:val="left"/>
        <w:rPr>
          <w:rFonts w:ascii="仿宋_GB2312"/>
          <w:kern w:val="0"/>
          <w:szCs w:val="32"/>
        </w:rPr>
      </w:pPr>
      <w:r>
        <w:rPr>
          <w:rFonts w:hint="eastAsia" w:ascii="仿宋_GB2312"/>
          <w:kern w:val="0"/>
          <w:szCs w:val="32"/>
        </w:rPr>
        <w:t>市能源局牵头制定充电设施年度建设计划、</w:t>
      </w:r>
      <w:r>
        <w:rPr>
          <w:rFonts w:hint="eastAsia" w:ascii="仿宋_GB2312" w:cs="仿宋_GB2312"/>
          <w:szCs w:val="32"/>
        </w:rPr>
        <w:t>组织开展项目申报和管理、开展项目核查、</w:t>
      </w:r>
      <w:r>
        <w:rPr>
          <w:rFonts w:hint="eastAsia" w:ascii="仿宋_GB2312"/>
          <w:kern w:val="0"/>
          <w:szCs w:val="32"/>
        </w:rPr>
        <w:t>进行项目认定，提出资金分配建议，</w:t>
      </w:r>
      <w:r>
        <w:rPr>
          <w:rFonts w:hint="eastAsia" w:ascii="仿宋_GB2312" w:cs="仿宋_GB2312"/>
          <w:szCs w:val="32"/>
        </w:rPr>
        <w:t>负责建立健全预算绩效管理制度，提出资金使用绩效目标，每年对奖补资金安排的项目组织绩效自评并将自评结果报送市财政局，评价结果作为以后年度预算安排的重要参考。</w:t>
      </w:r>
    </w:p>
    <w:p>
      <w:pPr>
        <w:spacing w:line="560" w:lineRule="exact"/>
        <w:ind w:firstLine="641"/>
        <w:jc w:val="left"/>
        <w:rPr>
          <w:kern w:val="0"/>
        </w:rPr>
      </w:pPr>
      <w:r>
        <w:rPr>
          <w:rFonts w:hint="eastAsia"/>
          <w:color w:val="FF0000"/>
          <w:kern w:val="0"/>
        </w:rPr>
        <w:t>市财政局负责组织奖补资金预算的编制和执行</w:t>
      </w:r>
      <w:r>
        <w:rPr>
          <w:rFonts w:hint="eastAsia" w:cs="仿宋_GB2312"/>
          <w:color w:val="FF0000"/>
        </w:rPr>
        <w:t>，</w:t>
      </w:r>
      <w:r>
        <w:rPr>
          <w:rFonts w:hint="eastAsia"/>
          <w:kern w:val="0"/>
        </w:rPr>
        <w:t>做好资金拨付</w:t>
      </w:r>
      <w:r>
        <w:rPr>
          <w:rFonts w:hint="eastAsia" w:cs="仿宋_GB2312"/>
        </w:rPr>
        <w:t>下达</w:t>
      </w:r>
      <w:r>
        <w:rPr>
          <w:rFonts w:hint="eastAsia"/>
          <w:kern w:val="0"/>
        </w:rPr>
        <w:t>和</w:t>
      </w:r>
      <w:r>
        <w:rPr>
          <w:rFonts w:hint="eastAsia" w:cs="仿宋_GB2312"/>
        </w:rPr>
        <w:t>预算</w:t>
      </w:r>
      <w:r>
        <w:rPr>
          <w:rFonts w:hint="eastAsia"/>
          <w:kern w:val="0"/>
        </w:rPr>
        <w:t>监管工作。</w:t>
      </w:r>
    </w:p>
    <w:p>
      <w:pPr>
        <w:pStyle w:val="8"/>
        <w:spacing w:line="560" w:lineRule="exact"/>
        <w:ind w:firstLine="641"/>
        <w:rPr>
          <w:rFonts w:ascii="仿宋_GB2312" w:hAnsi="仿宋_GB2312" w:eastAsia="仿宋_GB2312" w:cs="仿宋_GB2312"/>
          <w:kern w:val="0"/>
          <w:sz w:val="32"/>
          <w:szCs w:val="32"/>
        </w:rPr>
      </w:pPr>
      <w:r>
        <w:rPr>
          <w:rFonts w:hint="eastAsia" w:ascii="黑体" w:hAnsi="黑体" w:eastAsia="黑体"/>
          <w:kern w:val="0"/>
          <w:sz w:val="32"/>
          <w:szCs w:val="32"/>
        </w:rPr>
        <w:t xml:space="preserve">第六条  </w:t>
      </w:r>
      <w:r>
        <w:rPr>
          <w:rFonts w:hint="eastAsia" w:ascii="仿宋_GB2312" w:hAnsi="仿宋_GB2312" w:eastAsia="仿宋_GB2312" w:cs="仿宋_GB2312"/>
          <w:kern w:val="0"/>
          <w:sz w:val="32"/>
          <w:szCs w:val="32"/>
        </w:rPr>
        <w:t>奖补资金采取事后</w:t>
      </w:r>
      <w:r>
        <w:rPr>
          <w:rFonts w:hint="eastAsia" w:ascii="仿宋_GB2312" w:hAnsi="??" w:eastAsia="仿宋_GB2312" w:cs="仿宋_GB2312"/>
          <w:sz w:val="32"/>
          <w:szCs w:val="32"/>
        </w:rPr>
        <w:t>奖</w:t>
      </w:r>
      <w:r>
        <w:rPr>
          <w:rFonts w:hint="eastAsia" w:ascii="仿宋_GB2312" w:hAnsi="仿宋_GB2312" w:eastAsia="仿宋_GB2312" w:cs="仿宋_GB2312"/>
          <w:kern w:val="0"/>
          <w:sz w:val="32"/>
          <w:szCs w:val="32"/>
        </w:rPr>
        <w:t>补方式，按照项目法分配。遵循公开、公正、规范、绩效的原则，自觉接受有关部门和社会监督。</w:t>
      </w:r>
    </w:p>
    <w:p>
      <w:pPr>
        <w:adjustRightInd w:val="0"/>
        <w:snapToGrid w:val="0"/>
        <w:spacing w:line="560" w:lineRule="exact"/>
        <w:jc w:val="center"/>
        <w:rPr>
          <w:rFonts w:ascii="黑体" w:hAnsi="黑体" w:eastAsia="黑体"/>
          <w:kern w:val="0"/>
          <w:szCs w:val="32"/>
        </w:rPr>
      </w:pPr>
      <w:r>
        <w:rPr>
          <w:rFonts w:hint="eastAsia" w:ascii="黑体" w:hAnsi="黑体" w:eastAsia="黑体" w:cs="黑体"/>
          <w:kern w:val="0"/>
          <w:szCs w:val="32"/>
        </w:rPr>
        <w:t xml:space="preserve">第二章  </w:t>
      </w:r>
      <w:r>
        <w:rPr>
          <w:rFonts w:hint="eastAsia" w:ascii="黑体" w:hAnsi="黑体" w:eastAsia="黑体"/>
          <w:kern w:val="0"/>
          <w:szCs w:val="32"/>
        </w:rPr>
        <w:t>奖补对象与条件</w:t>
      </w:r>
    </w:p>
    <w:p>
      <w:pPr>
        <w:spacing w:line="560" w:lineRule="exact"/>
        <w:ind w:firstLine="640" w:firstLineChars="200"/>
        <w:jc w:val="left"/>
        <w:rPr>
          <w:rFonts w:ascii="仿宋_GB2312" w:hAnsi="仿宋_GB2312" w:cs="仿宋_GB2312"/>
          <w:color w:val="FF0000"/>
          <w:szCs w:val="32"/>
        </w:rPr>
      </w:pPr>
      <w:r>
        <w:rPr>
          <w:rFonts w:hint="eastAsia" w:ascii="黑体" w:hAnsi="黑体" w:eastAsia="黑体"/>
          <w:color w:val="000000"/>
          <w:kern w:val="0"/>
          <w:szCs w:val="32"/>
        </w:rPr>
        <w:t>第</w:t>
      </w:r>
      <w:r>
        <w:rPr>
          <w:rFonts w:hint="eastAsia" w:ascii="黑体" w:hAnsi="黑体" w:eastAsia="黑体"/>
          <w:kern w:val="0"/>
          <w:szCs w:val="32"/>
        </w:rPr>
        <w:t>七</w:t>
      </w:r>
      <w:r>
        <w:rPr>
          <w:rFonts w:hint="eastAsia" w:ascii="黑体" w:hAnsi="黑体" w:eastAsia="黑体"/>
          <w:color w:val="000000"/>
          <w:kern w:val="0"/>
          <w:szCs w:val="32"/>
        </w:rPr>
        <w:t xml:space="preserve">条 </w:t>
      </w:r>
      <w:r>
        <w:rPr>
          <w:rFonts w:hint="eastAsia" w:ascii="仿宋_GB2312"/>
          <w:color w:val="000000"/>
          <w:kern w:val="0"/>
          <w:szCs w:val="32"/>
        </w:rPr>
        <w:t xml:space="preserve"> </w:t>
      </w:r>
      <w:r>
        <w:rPr>
          <w:rFonts w:hint="eastAsia" w:ascii="仿宋_GB2312" w:hAnsi="仿宋_GB2312" w:cs="仿宋_GB2312"/>
          <w:kern w:val="0"/>
          <w:szCs w:val="32"/>
        </w:rPr>
        <w:t>奖补资金</w:t>
      </w:r>
      <w:r>
        <w:rPr>
          <w:rFonts w:hint="eastAsia" w:ascii="仿宋_GB2312" w:hAnsi="仿宋_GB2312" w:cs="仿宋_GB2312"/>
          <w:szCs w:val="32"/>
        </w:rPr>
        <w:t>奖励补贴对象为在宁波市登记注册成立的充电设施的投资建设单位（所有权单位）在本市辖区内建设、运营的充电基础设施。其中，中央财政分配下达的</w:t>
      </w:r>
      <w:r>
        <w:rPr>
          <w:rFonts w:hint="eastAsia" w:ascii="仿宋_GB2312"/>
          <w:szCs w:val="32"/>
        </w:rPr>
        <w:t>充电基础设施建设奖励资金</w:t>
      </w:r>
      <w:r>
        <w:rPr>
          <w:rFonts w:hint="eastAsia" w:ascii="仿宋_GB2312" w:hAnsi="仿宋_GB2312" w:cs="仿宋_GB2312"/>
          <w:szCs w:val="32"/>
        </w:rPr>
        <w:t>用于兑现2020年底前</w:t>
      </w:r>
      <w:r>
        <w:rPr>
          <w:rFonts w:hint="eastAsia" w:ascii="仿宋_GB2312"/>
          <w:szCs w:val="32"/>
        </w:rPr>
        <w:t>已建成投运的公用和专用</w:t>
      </w:r>
      <w:r>
        <w:rPr>
          <w:rFonts w:hint="eastAsia" w:ascii="仿宋_GB2312" w:hAnsi="??" w:cs="仿宋_GB2312"/>
          <w:szCs w:val="32"/>
        </w:rPr>
        <w:t>充电基础设施设备建设投资</w:t>
      </w:r>
      <w:r>
        <w:rPr>
          <w:rFonts w:hint="eastAsia" w:ascii="仿宋_GB2312" w:hAnsi="仿宋_GB2312" w:cs="仿宋_GB2312"/>
          <w:szCs w:val="32"/>
        </w:rPr>
        <w:t>奖励</w:t>
      </w:r>
      <w:r>
        <w:rPr>
          <w:rFonts w:hint="eastAsia" w:ascii="仿宋_GB2312" w:hAnsi="??" w:cs="仿宋_GB2312"/>
          <w:szCs w:val="32"/>
        </w:rPr>
        <w:t>补贴</w:t>
      </w:r>
      <w:r>
        <w:rPr>
          <w:rFonts w:hint="eastAsia" w:ascii="仿宋_GB2312" w:hAnsi="仿宋_GB2312" w:cs="仿宋_GB2312"/>
          <w:szCs w:val="32"/>
        </w:rPr>
        <w:t>；</w:t>
      </w:r>
      <w:r>
        <w:rPr>
          <w:rFonts w:hint="eastAsia" w:ascii="仿宋_GB2312"/>
          <w:szCs w:val="32"/>
        </w:rPr>
        <w:t>市级财政资金</w:t>
      </w:r>
      <w:r>
        <w:rPr>
          <w:rFonts w:hint="eastAsia" w:ascii="仿宋_GB2312" w:cs="仿宋_GB2312"/>
          <w:szCs w:val="32"/>
        </w:rPr>
        <w:t>专项用于</w:t>
      </w:r>
      <w:r>
        <w:rPr>
          <w:rFonts w:hint="eastAsia" w:ascii="仿宋_GB2312" w:hAnsi="??" w:cs="仿宋_GB2312"/>
          <w:szCs w:val="32"/>
        </w:rPr>
        <w:t>我市</w:t>
      </w:r>
      <w:r>
        <w:rPr>
          <w:rFonts w:hint="eastAsia" w:ascii="仿宋_GB2312"/>
          <w:szCs w:val="32"/>
        </w:rPr>
        <w:t>公用充电基础设施设备</w:t>
      </w:r>
      <w:r>
        <w:rPr>
          <w:rFonts w:hint="eastAsia" w:ascii="仿宋_GB2312" w:hAnsi="??" w:cs="仿宋_GB2312"/>
          <w:szCs w:val="32"/>
        </w:rPr>
        <w:t>运营度电奖励补贴、</w:t>
      </w:r>
      <w:r>
        <w:rPr>
          <w:rFonts w:hint="eastAsia" w:ascii="仿宋_GB2312" w:cs="仿宋_GB2312"/>
          <w:szCs w:val="32"/>
        </w:rPr>
        <w:t>支持</w:t>
      </w:r>
      <w:r>
        <w:rPr>
          <w:rFonts w:hint="eastAsia" w:ascii="仿宋_GB2312" w:hAnsi="??" w:cs="仿宋_GB2312"/>
          <w:szCs w:val="32"/>
        </w:rPr>
        <w:t>市级平台</w:t>
      </w:r>
      <w:r>
        <w:rPr>
          <w:rFonts w:hint="eastAsia" w:ascii="仿宋_GB2312" w:hAnsi="仿宋_GB2312" w:cs="仿宋_GB2312"/>
          <w:szCs w:val="32"/>
        </w:rPr>
        <w:t>运营维护</w:t>
      </w:r>
      <w:r>
        <w:rPr>
          <w:rFonts w:hint="eastAsia" w:ascii="仿宋_GB2312" w:hAnsi="宋体" w:cs="仿宋_GB2312"/>
          <w:szCs w:val="32"/>
        </w:rPr>
        <w:t>。</w:t>
      </w:r>
    </w:p>
    <w:p>
      <w:pPr>
        <w:spacing w:line="560" w:lineRule="exact"/>
        <w:ind w:firstLine="640"/>
        <w:jc w:val="left"/>
        <w:rPr>
          <w:rFonts w:ascii="仿宋_GB2312" w:hAnsi="仿宋_GB2312" w:cs="仿宋_GB2312"/>
          <w:szCs w:val="32"/>
        </w:rPr>
      </w:pPr>
      <w:r>
        <w:rPr>
          <w:rFonts w:hint="eastAsia" w:ascii="黑体" w:hAnsi="黑体" w:eastAsia="黑体"/>
          <w:kern w:val="0"/>
          <w:szCs w:val="32"/>
        </w:rPr>
        <w:t xml:space="preserve">第八条 </w:t>
      </w:r>
      <w:r>
        <w:rPr>
          <w:rFonts w:hint="eastAsia" w:ascii="仿宋_GB2312" w:hAnsi="仿宋_GB2312" w:cs="仿宋_GB2312"/>
          <w:kern w:val="0"/>
          <w:szCs w:val="32"/>
        </w:rPr>
        <w:t>申请</w:t>
      </w:r>
      <w:r>
        <w:rPr>
          <w:rFonts w:hint="eastAsia" w:ascii="仿宋_GB2312" w:hAnsi="仿宋_GB2312" w:cs="仿宋_GB2312"/>
          <w:szCs w:val="32"/>
        </w:rPr>
        <w:t>奖补资金奖励补贴的充电基础设施设备，应符合以下条件：</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（一）标准统一。充电设施建设、运营服务、维护管理符合国家、省和市相关技术标准、建设标准、设计规范和管理要求。</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（二）开放共享。按国家、省和市相关要求实现充电数据共享。</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（三）承</w:t>
      </w:r>
      <w:r>
        <w:rPr>
          <w:rFonts w:hint="eastAsia" w:ascii="仿宋_GB2312" w:hAnsi="仿宋_GB2312" w:eastAsia="仿宋_GB2312" w:cs="仿宋_GB2312"/>
          <w:sz w:val="32"/>
          <w:szCs w:val="32"/>
        </w:rPr>
        <w:t>担公用、专用充电服务</w:t>
      </w:r>
      <w:r>
        <w:rPr>
          <w:rFonts w:hint="eastAsia" w:ascii="仿宋_GB2312" w:hAnsi="??" w:eastAsia="仿宋_GB2312" w:cs="仿宋_GB2312"/>
          <w:sz w:val="32"/>
          <w:szCs w:val="32"/>
        </w:rPr>
        <w:t>，</w:t>
      </w:r>
      <w:r>
        <w:rPr>
          <w:rFonts w:hint="eastAsia" w:ascii="仿宋_GB2312" w:hAnsi="??" w:eastAsia="仿宋_GB2312" w:cs="仿宋_GB2312"/>
          <w:color w:val="000000"/>
          <w:sz w:val="32"/>
          <w:szCs w:val="32"/>
        </w:rPr>
        <w:t>且承诺服务期3年以上。</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（四）电能可计量。</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（五）支付方式具有通用性，具备手机、银联卡等第三方支付功能，可实现刷卡或扫码便捷支付。</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（六）充电设施经核查检测合格，充电设施数据接入充电运营服务企业平台和市级平台。</w:t>
      </w:r>
    </w:p>
    <w:p>
      <w:pPr>
        <w:spacing w:line="560" w:lineRule="exact"/>
        <w:ind w:firstLine="640" w:firstLineChars="200"/>
        <w:jc w:val="left"/>
        <w:rPr>
          <w:rFonts w:ascii="仿宋_GB2312" w:hAnsi="仿宋_GB2312" w:cs="仿宋_GB2312"/>
          <w:kern w:val="0"/>
          <w:szCs w:val="32"/>
        </w:rPr>
      </w:pPr>
      <w:r>
        <w:rPr>
          <w:rFonts w:hint="eastAsia" w:ascii="黑体" w:hAnsi="黑体" w:eastAsia="黑体" w:cs="黑体"/>
          <w:szCs w:val="32"/>
        </w:rPr>
        <w:t xml:space="preserve">第九条  </w:t>
      </w:r>
      <w:r>
        <w:rPr>
          <w:rFonts w:hint="eastAsia" w:ascii="仿宋_GB2312" w:hAnsi="仿宋_GB2312" w:cs="仿宋_GB2312"/>
          <w:kern w:val="0"/>
          <w:szCs w:val="32"/>
        </w:rPr>
        <w:t>以下</w:t>
      </w:r>
      <w:r>
        <w:rPr>
          <w:rFonts w:hint="eastAsia" w:ascii="仿宋_GB2312" w:hAnsi="仿宋_GB2312" w:cs="仿宋_GB2312"/>
          <w:szCs w:val="32"/>
        </w:rPr>
        <w:t>充电基础设施设备，</w:t>
      </w:r>
      <w:r>
        <w:rPr>
          <w:rFonts w:hint="eastAsia" w:ascii="仿宋_GB2312" w:hAnsi="??" w:cs="仿宋_GB2312"/>
          <w:szCs w:val="32"/>
        </w:rPr>
        <w:t>不属于本办法奖励补贴的项目范围：</w:t>
      </w:r>
    </w:p>
    <w:p>
      <w:pPr>
        <w:pStyle w:val="2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市住建局2017年5月1日起施行《宁波市民用建筑电动汽车充电设施和充电设备配置与设计技术规定》（2017甬DX-05，现更新为</w:t>
      </w:r>
      <w:r>
        <w:rPr>
          <w:rFonts w:hint="eastAsia" w:ascii="仿宋_GB2312" w:hAnsi="仿宋_GB2312" w:eastAsia="仿宋_GB2312" w:cs="仿宋_GB2312"/>
          <w:color w:val="111F2C"/>
          <w:sz w:val="32"/>
          <w:szCs w:val="32"/>
          <w:shd w:val="clear" w:color="auto" w:fill="FFFFFF"/>
        </w:rPr>
        <w:t>《宁波市民用建筑电动汽车充电设施和充电设备技术规定》</w:t>
      </w:r>
      <w:r>
        <w:rPr>
          <w:rFonts w:hint="eastAsia" w:ascii="仿宋_GB2312" w:hAnsi="仿宋_GB2312" w:eastAsia="仿宋_GB2312" w:cs="仿宋_GB2312"/>
          <w:sz w:val="32"/>
          <w:szCs w:val="32"/>
        </w:rPr>
        <w:t>甬DX/JS008-2020），对于宁波市域内新建各类民用建筑的电动汽车充电设施设备配建指标内的充电设施不予奖</w:t>
      </w:r>
      <w:r>
        <w:rPr>
          <w:rFonts w:hint="eastAsia" w:ascii="仿宋_GB2312" w:hAnsi="??" w:eastAsia="仿宋_GB2312" w:cs="仿宋_GB2312"/>
          <w:sz w:val="32"/>
          <w:szCs w:val="32"/>
        </w:rPr>
        <w:t>励补贴</w:t>
      </w:r>
      <w:r>
        <w:rPr>
          <w:rFonts w:hint="eastAsia" w:ascii="仿宋_GB2312" w:hAnsi="仿宋_GB2312" w:eastAsia="仿宋_GB2312" w:cs="仿宋_GB2312"/>
          <w:sz w:val="32"/>
          <w:szCs w:val="32"/>
        </w:rPr>
        <w:t>。</w:t>
      </w:r>
    </w:p>
    <w:p>
      <w:pPr>
        <w:pStyle w:val="25"/>
        <w:spacing w:line="560" w:lineRule="exact"/>
        <w:ind w:firstLine="640"/>
        <w:jc w:val="left"/>
        <w:rPr>
          <w:rFonts w:ascii="仿宋_GB2312" w:hAnsi="??" w:eastAsia="仿宋_GB2312" w:cs="仿宋_GB2312"/>
          <w:sz w:val="32"/>
          <w:szCs w:val="32"/>
        </w:rPr>
      </w:pPr>
      <w:r>
        <w:rPr>
          <w:rFonts w:hint="eastAsia" w:ascii="黑体" w:hAnsi="黑体" w:eastAsia="黑体" w:cs="黑体"/>
          <w:sz w:val="32"/>
          <w:szCs w:val="32"/>
        </w:rPr>
        <w:t>第十条</w:t>
      </w:r>
      <w:r>
        <w:rPr>
          <w:rFonts w:hint="eastAsia" w:ascii="仿宋_GB2312" w:hAnsi="??" w:eastAsia="仿宋_GB2312" w:cs="仿宋_GB2312"/>
          <w:sz w:val="32"/>
          <w:szCs w:val="32"/>
        </w:rPr>
        <w:t xml:space="preserve">  申请奖补资金奖励补贴的充电基础设施设备以投资建设单位为主体进行申报（也可委托托管运营单位代为申报），单个申报企业单位充电设施设备总功率不少于200千瓦。</w:t>
      </w:r>
    </w:p>
    <w:p>
      <w:pPr>
        <w:pStyle w:val="25"/>
        <w:spacing w:line="560" w:lineRule="exact"/>
        <w:ind w:firstLine="640"/>
        <w:jc w:val="left"/>
        <w:rPr>
          <w:rFonts w:ascii="仿宋_GB2312" w:hAnsi="仿宋_GB2312" w:eastAsia="仿宋_GB2312" w:cs="仿宋_GB2312"/>
          <w:sz w:val="32"/>
          <w:szCs w:val="32"/>
        </w:rPr>
      </w:pPr>
      <w:r>
        <w:rPr>
          <w:rFonts w:hint="eastAsia" w:ascii="黑体" w:hAnsi="黑体" w:eastAsia="黑体" w:cs="Times New Roman"/>
          <w:kern w:val="0"/>
          <w:sz w:val="32"/>
          <w:szCs w:val="32"/>
        </w:rPr>
        <w:t xml:space="preserve">第十一条  </w:t>
      </w:r>
      <w:r>
        <w:rPr>
          <w:rFonts w:hint="eastAsia" w:ascii="仿宋_GB2312" w:hAnsi="仿宋_GB2312" w:eastAsia="仿宋_GB2312" w:cs="仿宋_GB2312"/>
          <w:sz w:val="32"/>
          <w:szCs w:val="32"/>
        </w:rPr>
        <w:t>奖补资金支持的</w:t>
      </w:r>
      <w:r>
        <w:rPr>
          <w:rFonts w:hint="eastAsia" w:ascii="仿宋_GB2312" w:hAnsi="仿宋_GB2312" w:eastAsia="仿宋_GB2312" w:cs="仿宋_GB2312"/>
          <w:color w:val="000000"/>
          <w:sz w:val="32"/>
          <w:szCs w:val="32"/>
        </w:rPr>
        <w:t>市级平台</w:t>
      </w:r>
      <w:r>
        <w:rPr>
          <w:rFonts w:hint="eastAsia" w:ascii="仿宋_GB2312" w:hAnsi="仿宋_GB2312" w:eastAsia="仿宋_GB2312" w:cs="仿宋_GB2312"/>
          <w:sz w:val="32"/>
          <w:szCs w:val="32"/>
        </w:rPr>
        <w:t>，应符合以下条件要求：</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（一）具备公共政策支持服务能力，为政府部门实施项目监管、制定财政政策等提供服务和支撑。</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（二）具备公共服务能力，向社会公众发布全市电动汽车充电设施信息，为社会公众提供便捷的充电设施信息查询服务。</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（三）具备平台软硬件开发能力，负责制订平台对接数据技术标准，有效整合不同企业平台的充电服务信息资源，促进不同企业平台之间的互联互通。</w:t>
      </w:r>
    </w:p>
    <w:p>
      <w:pPr>
        <w:pStyle w:val="25"/>
        <w:spacing w:line="560" w:lineRule="exact"/>
        <w:ind w:firstLine="640"/>
        <w:jc w:val="left"/>
        <w:rPr>
          <w:rFonts w:ascii="仿宋_GB2312" w:hAnsi="??" w:eastAsia="仿宋_GB2312" w:cs="仿宋_GB2312"/>
          <w:sz w:val="32"/>
          <w:szCs w:val="32"/>
        </w:rPr>
      </w:pPr>
      <w:r>
        <w:rPr>
          <w:rFonts w:hint="eastAsia" w:ascii="仿宋_GB2312" w:hAnsi="??" w:eastAsia="仿宋_GB2312" w:cs="仿宋_GB2312"/>
          <w:sz w:val="32"/>
          <w:szCs w:val="32"/>
        </w:rPr>
        <w:t>（四）承担充电设施核查工作，承担各企业平台的接入和向市级相关平台和上级平台接入工作，并对市级平台和数据信息安全负责。</w:t>
      </w:r>
    </w:p>
    <w:p>
      <w:pPr>
        <w:spacing w:line="560" w:lineRule="exact"/>
        <w:jc w:val="center"/>
        <w:rPr>
          <w:rFonts w:ascii="黑体" w:hAnsi="黑体" w:eastAsia="黑体" w:cs="仿宋_GB2312"/>
          <w:szCs w:val="32"/>
        </w:rPr>
      </w:pPr>
      <w:r>
        <w:rPr>
          <w:rFonts w:hint="eastAsia" w:ascii="黑体" w:hAnsi="黑体" w:eastAsia="黑体" w:cs="黑体"/>
          <w:kern w:val="0"/>
          <w:szCs w:val="32"/>
        </w:rPr>
        <w:t>第三章</w:t>
      </w:r>
      <w:r>
        <w:rPr>
          <w:rFonts w:hint="eastAsia" w:ascii="黑体" w:hAnsi="黑体" w:eastAsia="黑体"/>
          <w:kern w:val="0"/>
          <w:szCs w:val="32"/>
        </w:rPr>
        <w:t xml:space="preserve">  </w:t>
      </w:r>
      <w:r>
        <w:rPr>
          <w:rFonts w:hint="eastAsia" w:ascii="黑体" w:hAnsi="黑体" w:eastAsia="黑体" w:cs="黑体"/>
          <w:kern w:val="0"/>
          <w:szCs w:val="32"/>
        </w:rPr>
        <w:t xml:space="preserve"> </w:t>
      </w:r>
      <w:r>
        <w:rPr>
          <w:rFonts w:hint="eastAsia" w:ascii="黑体" w:hAnsi="黑体" w:eastAsia="黑体" w:cs="黑体"/>
          <w:szCs w:val="32"/>
        </w:rPr>
        <w:t>奖</w:t>
      </w:r>
      <w:r>
        <w:rPr>
          <w:rFonts w:hint="eastAsia" w:ascii="黑体" w:hAnsi="黑体" w:eastAsia="黑体" w:cs="仿宋_GB2312"/>
          <w:szCs w:val="32"/>
        </w:rPr>
        <w:t>励补贴标准</w:t>
      </w:r>
    </w:p>
    <w:p>
      <w:pPr>
        <w:pStyle w:val="25"/>
        <w:spacing w:line="560" w:lineRule="exact"/>
        <w:ind w:firstLine="640"/>
        <w:jc w:val="left"/>
        <w:rPr>
          <w:rFonts w:ascii="仿宋_GB2312" w:hAnsi="仿宋_GB2312" w:eastAsia="仿宋_GB2312" w:cs="仿宋_GB2312"/>
          <w:sz w:val="32"/>
          <w:szCs w:val="32"/>
        </w:rPr>
      </w:pPr>
      <w:r>
        <w:rPr>
          <w:rFonts w:hint="eastAsia" w:ascii="黑体" w:hAnsi="黑体" w:eastAsia="黑体" w:cs="Times New Roman"/>
          <w:kern w:val="0"/>
          <w:sz w:val="32"/>
          <w:szCs w:val="32"/>
        </w:rPr>
        <w:t xml:space="preserve">第十二条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国</w:t>
      </w:r>
      <w:r>
        <w:rPr>
          <w:rFonts w:hint="eastAsia" w:ascii="仿宋_GB2312" w:eastAsia="仿宋_GB2312"/>
          <w:sz w:val="32"/>
          <w:szCs w:val="32"/>
        </w:rPr>
        <w:t>家充电基础设施建设奖励资金按照中央财政规定的资金分配原则要求和指定用途安排使用，对2020年底前已建成投运的</w:t>
      </w:r>
      <w:r>
        <w:rPr>
          <w:rFonts w:hint="eastAsia" w:ascii="仿宋_GB2312" w:hAnsi="??" w:eastAsia="仿宋_GB2312" w:cs="仿宋_GB2312"/>
          <w:sz w:val="32"/>
          <w:szCs w:val="32"/>
        </w:rPr>
        <w:t>充电基础设施设备建设投资兑现奖励补贴。其中：2016年期间建成投运的充电设施设备投资奖励补贴标准（基准）为：直流快充桩不高于600元/千瓦、交流慢充桩不高于300元/千瓦；</w:t>
      </w:r>
      <w:r>
        <w:rPr>
          <w:rFonts w:hint="eastAsia" w:ascii="仿宋_GB2312" w:eastAsia="仿宋_GB2312"/>
          <w:sz w:val="32"/>
          <w:szCs w:val="32"/>
        </w:rPr>
        <w:t>对于在居住小区建设并服务居民的有序充电模式的交流充电桩参照直流快充桩标准执行；对于换电站按照装机功率参照直流快充桩标准执行；对于采用智能负荷分配的充电设施设备，以该充电站充电设备最大同时可充功率为计算依据。</w:t>
      </w:r>
      <w:r>
        <w:rPr>
          <w:rFonts w:hint="eastAsia" w:ascii="仿宋_GB2312" w:hAnsi="仿宋_GB2312" w:eastAsia="仿宋_GB2312" w:cs="仿宋_GB2312"/>
          <w:sz w:val="32"/>
          <w:szCs w:val="32"/>
        </w:rPr>
        <w:t>以后年度</w:t>
      </w:r>
      <w:r>
        <w:rPr>
          <w:rFonts w:hint="eastAsia" w:ascii="仿宋_GB2312" w:hAnsi="??" w:eastAsia="仿宋_GB2312" w:cs="仿宋_GB2312"/>
          <w:sz w:val="32"/>
          <w:szCs w:val="32"/>
        </w:rPr>
        <w:t>奖励补贴标准</w:t>
      </w:r>
      <w:r>
        <w:rPr>
          <w:rFonts w:hint="eastAsia" w:ascii="仿宋_GB2312" w:hAnsi="仿宋_GB2312" w:eastAsia="仿宋_GB2312" w:cs="仿宋_GB2312"/>
          <w:sz w:val="32"/>
          <w:szCs w:val="32"/>
        </w:rPr>
        <w:t>原则上逐年退坡15个百分点，即2017年、2018年、2019年、2020年建成投运的充电设施设备</w:t>
      </w:r>
      <w:r>
        <w:rPr>
          <w:rFonts w:hint="eastAsia" w:ascii="仿宋_GB2312" w:hAnsi="??" w:eastAsia="仿宋_GB2312" w:cs="仿宋_GB2312"/>
          <w:sz w:val="32"/>
          <w:szCs w:val="32"/>
        </w:rPr>
        <w:t>投资</w:t>
      </w:r>
      <w:r>
        <w:rPr>
          <w:rFonts w:hint="eastAsia" w:ascii="仿宋_GB2312" w:hAnsi="仿宋_GB2312" w:eastAsia="仿宋_GB2312" w:cs="仿宋_GB2312"/>
          <w:sz w:val="32"/>
          <w:szCs w:val="32"/>
        </w:rPr>
        <w:t>奖</w:t>
      </w:r>
      <w:r>
        <w:rPr>
          <w:rFonts w:hint="eastAsia" w:ascii="仿宋_GB2312" w:hAnsi="??" w:eastAsia="仿宋_GB2312" w:cs="仿宋_GB2312"/>
          <w:sz w:val="32"/>
          <w:szCs w:val="32"/>
        </w:rPr>
        <w:t>励补贴标准</w:t>
      </w:r>
      <w:r>
        <w:rPr>
          <w:rFonts w:hint="eastAsia" w:ascii="仿宋_GB2312" w:hAnsi="仿宋_GB2312" w:eastAsia="仿宋_GB2312" w:cs="仿宋_GB2312"/>
          <w:sz w:val="32"/>
          <w:szCs w:val="32"/>
        </w:rPr>
        <w:t>为不高于2016年基准的85%、70%、55%、40%。</w:t>
      </w:r>
    </w:p>
    <w:p>
      <w:pPr>
        <w:pStyle w:val="2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该部分奖补资金以国家充电基础设施建设奖励分配下达到我市的资金为限，在可用额度内统筹安排使用，各年度根据国家奖励资金到位情况阶段平衡。</w:t>
      </w:r>
      <w:r>
        <w:rPr>
          <w:rFonts w:ascii="Times New Roman" w:hAnsi="Times New Roman" w:eastAsia="仿宋_GB2312"/>
          <w:sz w:val="32"/>
          <w:szCs w:val="32"/>
        </w:rPr>
        <w:t>年度补助资金总额超过</w:t>
      </w:r>
      <w:r>
        <w:rPr>
          <w:rFonts w:hint="eastAsia" w:ascii="Times New Roman" w:hAnsi="Times New Roman" w:eastAsia="仿宋_GB2312"/>
          <w:sz w:val="32"/>
          <w:szCs w:val="32"/>
        </w:rPr>
        <w:t>中央资金</w:t>
      </w:r>
      <w:r>
        <w:rPr>
          <w:rFonts w:ascii="Times New Roman" w:hAnsi="Times New Roman" w:eastAsia="仿宋_GB2312"/>
          <w:sz w:val="32"/>
          <w:szCs w:val="32"/>
        </w:rPr>
        <w:t>预算</w:t>
      </w:r>
      <w:r>
        <w:rPr>
          <w:rFonts w:hint="eastAsia" w:ascii="Times New Roman" w:hAnsi="Times New Roman" w:eastAsia="仿宋_GB2312"/>
          <w:sz w:val="32"/>
          <w:szCs w:val="32"/>
        </w:rPr>
        <w:t>指标</w:t>
      </w:r>
      <w:r>
        <w:rPr>
          <w:rFonts w:ascii="Times New Roman" w:hAnsi="Times New Roman" w:eastAsia="仿宋_GB2312"/>
          <w:sz w:val="32"/>
          <w:szCs w:val="32"/>
        </w:rPr>
        <w:t>的，</w:t>
      </w:r>
      <w:r>
        <w:rPr>
          <w:rFonts w:hint="eastAsia" w:ascii="仿宋_GB2312" w:hAnsi="仿宋_GB2312" w:eastAsia="仿宋_GB2312" w:cs="仿宋_GB2312"/>
          <w:sz w:val="32"/>
          <w:szCs w:val="32"/>
        </w:rPr>
        <w:t>奖补</w:t>
      </w:r>
      <w:r>
        <w:rPr>
          <w:rFonts w:ascii="Times New Roman" w:hAnsi="Times New Roman" w:eastAsia="仿宋_GB2312"/>
          <w:sz w:val="32"/>
          <w:szCs w:val="32"/>
        </w:rPr>
        <w:t>金额按照差额同比例核减。</w:t>
      </w:r>
    </w:p>
    <w:p>
      <w:pPr>
        <w:pStyle w:val="25"/>
        <w:spacing w:line="560" w:lineRule="exact"/>
        <w:ind w:firstLine="640"/>
        <w:jc w:val="left"/>
        <w:rPr>
          <w:rFonts w:ascii="仿宋_GB2312" w:hAnsi="仿宋_GB2312" w:eastAsia="仿宋_GB2312" w:cs="仿宋_GB2312"/>
          <w:kern w:val="0"/>
          <w:sz w:val="32"/>
          <w:szCs w:val="32"/>
        </w:rPr>
      </w:pPr>
      <w:r>
        <w:rPr>
          <w:rFonts w:hint="eastAsia" w:ascii="黑体" w:hAnsi="黑体" w:eastAsia="黑体" w:cs="Times New Roman"/>
          <w:kern w:val="0"/>
          <w:sz w:val="32"/>
          <w:szCs w:val="32"/>
        </w:rPr>
        <w:t xml:space="preserve">第十三条 </w:t>
      </w:r>
      <w:r>
        <w:rPr>
          <w:rFonts w:hint="eastAsia" w:ascii="仿宋_GB2312" w:hAnsi="仿宋_GB2312" w:eastAsia="仿宋_GB2312" w:cs="仿宋_GB2312"/>
          <w:sz w:val="32"/>
          <w:szCs w:val="32"/>
        </w:rPr>
        <w:t>对接入</w:t>
      </w:r>
      <w:r>
        <w:rPr>
          <w:rFonts w:hint="eastAsia" w:ascii="仿宋_GB2312" w:hAnsi="仿宋_GB2312" w:eastAsia="仿宋_GB2312" w:cs="仿宋_GB2312"/>
          <w:color w:val="000000"/>
          <w:sz w:val="32"/>
          <w:szCs w:val="32"/>
        </w:rPr>
        <w:t>市级平台</w:t>
      </w:r>
      <w:r>
        <w:rPr>
          <w:rFonts w:hint="eastAsia" w:ascii="仿宋_GB2312" w:hAnsi="仿宋_GB2312" w:eastAsia="仿宋_GB2312" w:cs="仿宋_GB2312"/>
          <w:sz w:val="32"/>
          <w:szCs w:val="32"/>
        </w:rPr>
        <w:t>的公用充电设施（不含</w:t>
      </w:r>
      <w:r>
        <w:rPr>
          <w:rFonts w:hint="eastAsia" w:ascii="仿宋_GB2312" w:eastAsia="仿宋_GB2312"/>
          <w:sz w:val="32"/>
          <w:szCs w:val="32"/>
        </w:rPr>
        <w:t>电动公交专用充电设施，下同</w:t>
      </w:r>
      <w:r>
        <w:rPr>
          <w:rFonts w:hint="eastAsia" w:ascii="仿宋_GB2312" w:hAnsi="仿宋_GB2312" w:eastAsia="仿宋_GB2312" w:cs="仿宋_GB2312"/>
          <w:sz w:val="32"/>
          <w:szCs w:val="32"/>
        </w:rPr>
        <w:t>），自2021年1月1日起至2022年12月31日止，按照不超过</w:t>
      </w:r>
      <w:r>
        <w:rPr>
          <w:rFonts w:hint="eastAsia" w:ascii="仿宋_GB2312" w:hAnsi="仿宋_GB2312" w:eastAsia="仿宋_GB2312" w:cs="仿宋_GB2312"/>
          <w:kern w:val="0"/>
          <w:sz w:val="32"/>
          <w:szCs w:val="32"/>
        </w:rPr>
        <w:t>0.2元/千瓦时标准给予运</w:t>
      </w:r>
      <w:r>
        <w:rPr>
          <w:rFonts w:hint="eastAsia" w:ascii="仿宋_GB2312" w:hAnsi="仿宋_GB2312" w:eastAsia="仿宋_GB2312" w:cs="仿宋_GB2312"/>
          <w:sz w:val="32"/>
          <w:szCs w:val="32"/>
        </w:rPr>
        <w:t>营度电奖励补贴；其中，年度运营度电奖励补贴执行时已享受过国家充电基础设施建设奖励的，按照不超过0</w:t>
      </w:r>
      <w:r>
        <w:rPr>
          <w:rFonts w:hint="eastAsia" w:ascii="仿宋_GB2312" w:hAnsi="仿宋_GB2312" w:eastAsia="仿宋_GB2312" w:cs="仿宋_GB2312"/>
          <w:kern w:val="0"/>
          <w:sz w:val="32"/>
          <w:szCs w:val="32"/>
        </w:rPr>
        <w:t>.16元/千瓦时标准给予</w:t>
      </w:r>
      <w:r>
        <w:rPr>
          <w:rFonts w:hint="eastAsia" w:ascii="仿宋_GB2312" w:hAnsi="仿宋_GB2312" w:eastAsia="仿宋_GB2312" w:cs="仿宋_GB2312"/>
          <w:sz w:val="32"/>
          <w:szCs w:val="32"/>
        </w:rPr>
        <w:t>运营度电奖励补贴</w:t>
      </w:r>
      <w:r>
        <w:rPr>
          <w:rFonts w:hint="eastAsia" w:ascii="仿宋_GB2312" w:hAnsi="仿宋_GB2312" w:eastAsia="仿宋_GB2312" w:cs="仿宋_GB2312"/>
          <w:kern w:val="0"/>
          <w:sz w:val="32"/>
          <w:szCs w:val="32"/>
        </w:rPr>
        <w:t>。</w:t>
      </w:r>
    </w:p>
    <w:p>
      <w:pPr>
        <w:pStyle w:val="25"/>
        <w:spacing w:line="560" w:lineRule="exact"/>
        <w:ind w:firstLine="640"/>
        <w:jc w:val="left"/>
        <w:rPr>
          <w:rFonts w:ascii="仿宋_GB2312" w:hAnsi="仿宋_GB2312" w:eastAsia="仿宋_GB2312" w:cs="仿宋_GB2312"/>
          <w:b/>
          <w:color w:val="FF0000"/>
          <w:sz w:val="32"/>
          <w:szCs w:val="32"/>
        </w:rPr>
      </w:pPr>
      <w:r>
        <w:rPr>
          <w:rFonts w:hint="eastAsia" w:ascii="黑体" w:hAnsi="黑体" w:eastAsia="黑体" w:cs="Times New Roman"/>
          <w:kern w:val="0"/>
          <w:sz w:val="32"/>
          <w:szCs w:val="32"/>
        </w:rPr>
        <w:t xml:space="preserve">第十四条 </w:t>
      </w:r>
      <w:r>
        <w:rPr>
          <w:rFonts w:hint="eastAsia" w:ascii="仿宋_GB2312" w:hAnsi="仿宋_GB2312" w:eastAsia="仿宋_GB2312" w:cs="仿宋_GB2312"/>
          <w:sz w:val="32"/>
          <w:szCs w:val="32"/>
        </w:rPr>
        <w:t>通过政府购买服务的方式，安排一定数额奖补资金，支持</w:t>
      </w:r>
      <w:r>
        <w:rPr>
          <w:rFonts w:hint="eastAsia" w:ascii="仿宋_GB2312" w:hAnsi="仿宋_GB2312" w:eastAsia="仿宋_GB2312" w:cs="仿宋_GB2312"/>
          <w:color w:val="000000"/>
          <w:sz w:val="32"/>
          <w:szCs w:val="32"/>
        </w:rPr>
        <w:t>市级平台</w:t>
      </w:r>
      <w:r>
        <w:rPr>
          <w:rFonts w:hint="eastAsia" w:ascii="仿宋_GB2312" w:hAnsi="仿宋_GB2312" w:eastAsia="仿宋_GB2312" w:cs="仿宋_GB2312"/>
          <w:sz w:val="32"/>
          <w:szCs w:val="32"/>
        </w:rPr>
        <w:t>运行维护，开展与各充电设施建设运营单位及市级新能源车辆监管等市级平台数据接入和互联互通、数据信息安全保护、数据信息处理分析报告、奖补资金申报材料初步审核、充电设施核查、</w:t>
      </w:r>
      <w:r>
        <w:rPr>
          <w:rFonts w:hint="eastAsia" w:ascii="仿宋_GB2312" w:hAnsi="??" w:eastAsia="仿宋_GB2312" w:cs="仿宋_GB2312"/>
          <w:sz w:val="32"/>
          <w:szCs w:val="32"/>
        </w:rPr>
        <w:t>为公众提供充电设施信息查询</w:t>
      </w:r>
      <w:r>
        <w:rPr>
          <w:rFonts w:hint="eastAsia" w:ascii="仿宋_GB2312" w:hAnsi="仿宋_GB2312" w:eastAsia="仿宋_GB2312" w:cs="仿宋_GB2312"/>
          <w:sz w:val="32"/>
          <w:szCs w:val="32"/>
        </w:rPr>
        <w:t>等公共服务。</w:t>
      </w:r>
    </w:p>
    <w:p>
      <w:pPr>
        <w:pStyle w:val="25"/>
        <w:spacing w:line="560" w:lineRule="exact"/>
        <w:ind w:firstLine="2880" w:firstLineChars="900"/>
        <w:rPr>
          <w:rFonts w:ascii="黑体" w:hAnsi="黑体" w:eastAsia="黑体" w:cs="仿宋_GB2312"/>
          <w:sz w:val="32"/>
          <w:szCs w:val="32"/>
        </w:rPr>
      </w:pPr>
      <w:r>
        <w:rPr>
          <w:rFonts w:hint="eastAsia" w:ascii="黑体" w:hAnsi="黑体" w:eastAsia="黑体" w:cs="仿宋_GB2312"/>
          <w:sz w:val="32"/>
          <w:szCs w:val="32"/>
        </w:rPr>
        <w:t>第四章  申报程序</w:t>
      </w:r>
    </w:p>
    <w:p>
      <w:pPr>
        <w:pStyle w:val="25"/>
        <w:spacing w:line="560" w:lineRule="exact"/>
        <w:ind w:firstLine="640"/>
        <w:jc w:val="left"/>
        <w:rPr>
          <w:rFonts w:ascii="仿宋_GB2312" w:hAnsi="??" w:eastAsia="仿宋_GB2312" w:cs="仿宋_GB2312"/>
          <w:sz w:val="32"/>
          <w:szCs w:val="32"/>
        </w:rPr>
      </w:pPr>
      <w:r>
        <w:rPr>
          <w:rFonts w:hint="eastAsia" w:ascii="黑体" w:hAnsi="黑体" w:eastAsia="黑体" w:cs="Times New Roman"/>
          <w:kern w:val="0"/>
          <w:sz w:val="32"/>
          <w:szCs w:val="32"/>
        </w:rPr>
        <w:t xml:space="preserve">第十五条 </w:t>
      </w:r>
      <w:r>
        <w:rPr>
          <w:rFonts w:hint="eastAsia" w:ascii="仿宋_GB2312" w:hAnsi="??" w:eastAsia="仿宋_GB2312" w:cs="仿宋_GB2312"/>
          <w:sz w:val="32"/>
          <w:szCs w:val="32"/>
        </w:rPr>
        <w:t xml:space="preserve"> </w:t>
      </w:r>
      <w:r>
        <w:rPr>
          <w:rFonts w:hint="eastAsia" w:ascii="仿宋_GB2312" w:eastAsia="仿宋_GB2312" w:cs="仿宋_GB2312"/>
          <w:color w:val="000000"/>
          <w:sz w:val="32"/>
          <w:szCs w:val="32"/>
        </w:rPr>
        <w:t>申报程序。由市能源局根据年度工作安排以及中央资金下达到位情况，公开发布申报通知，明确具体申报要求，申报单位在规定时间内向市能源局</w:t>
      </w:r>
      <w:r>
        <w:rPr>
          <w:rFonts w:hint="eastAsia" w:ascii="仿宋_GB2312" w:eastAsia="仿宋_GB2312" w:cs="仿宋_GB2312"/>
          <w:sz w:val="32"/>
          <w:szCs w:val="32"/>
        </w:rPr>
        <w:t>提出申请</w:t>
      </w:r>
      <w:r>
        <w:rPr>
          <w:rFonts w:hint="eastAsia" w:ascii="仿宋_GB2312" w:eastAsia="仿宋_GB2312" w:cs="仿宋_GB2312"/>
          <w:color w:val="000000"/>
          <w:sz w:val="32"/>
          <w:szCs w:val="32"/>
        </w:rPr>
        <w:t>，报</w:t>
      </w:r>
      <w:r>
        <w:rPr>
          <w:rFonts w:hint="eastAsia" w:ascii="仿宋_GB2312" w:eastAsia="仿宋_GB2312" w:cs="仿宋_GB2312"/>
          <w:sz w:val="32"/>
          <w:szCs w:val="32"/>
        </w:rPr>
        <w:t>送有关材料。</w:t>
      </w:r>
    </w:p>
    <w:p>
      <w:pPr>
        <w:pStyle w:val="25"/>
        <w:spacing w:line="560" w:lineRule="exact"/>
        <w:ind w:firstLine="640"/>
        <w:jc w:val="left"/>
        <w:rPr>
          <w:rFonts w:ascii="仿宋_GB2312" w:hAnsi="??" w:eastAsia="仿宋_GB2312" w:cs="仿宋_GB2312"/>
          <w:sz w:val="32"/>
          <w:szCs w:val="32"/>
        </w:rPr>
      </w:pPr>
      <w:r>
        <w:rPr>
          <w:rFonts w:hint="eastAsia" w:ascii="黑体" w:hAnsi="黑体" w:eastAsia="黑体" w:cs="Times New Roman"/>
          <w:kern w:val="0"/>
          <w:sz w:val="32"/>
          <w:szCs w:val="32"/>
        </w:rPr>
        <w:t xml:space="preserve">第十六条 </w:t>
      </w:r>
      <w:r>
        <w:rPr>
          <w:rFonts w:hint="eastAsia" w:ascii="仿宋_GB2312" w:hAnsi="??" w:eastAsia="仿宋_GB2312" w:cs="仿宋_GB2312"/>
          <w:sz w:val="32"/>
          <w:szCs w:val="32"/>
        </w:rPr>
        <w:t xml:space="preserve"> 市能源局</w:t>
      </w:r>
      <w:r>
        <w:rPr>
          <w:rFonts w:hint="eastAsia" w:ascii="仿宋_GB2312" w:eastAsia="仿宋_GB2312" w:cs="仿宋_GB2312"/>
          <w:color w:val="000000"/>
          <w:sz w:val="32"/>
          <w:szCs w:val="32"/>
        </w:rPr>
        <w:t>组织开展对相关申报材料审评工作，必要时可以委托第三方机构进行实地考察审计。根据审评结果，</w:t>
      </w:r>
      <w:r>
        <w:rPr>
          <w:rFonts w:hint="eastAsia" w:ascii="仿宋_GB2312" w:hAnsi="??" w:eastAsia="仿宋_GB2312" w:cs="仿宋_GB2312"/>
          <w:sz w:val="32"/>
          <w:szCs w:val="32"/>
        </w:rPr>
        <w:t>市能源局</w:t>
      </w:r>
      <w:r>
        <w:rPr>
          <w:rFonts w:hint="eastAsia" w:ascii="仿宋_GB2312" w:eastAsia="仿宋_GB2312" w:cs="仿宋_GB2312"/>
          <w:color w:val="000000"/>
          <w:sz w:val="32"/>
          <w:szCs w:val="32"/>
        </w:rPr>
        <w:t>提出</w:t>
      </w:r>
      <w:r>
        <w:rPr>
          <w:rFonts w:hint="eastAsia" w:ascii="仿宋_GB2312" w:hAnsi="仿宋_GB2312" w:eastAsia="仿宋_GB2312" w:cs="仿宋_GB2312"/>
          <w:sz w:val="32"/>
          <w:szCs w:val="32"/>
        </w:rPr>
        <w:t>奖补</w:t>
      </w:r>
      <w:r>
        <w:rPr>
          <w:rFonts w:hint="eastAsia" w:ascii="仿宋_GB2312" w:eastAsia="仿宋_GB2312" w:cs="仿宋_GB2312"/>
          <w:color w:val="000000"/>
          <w:sz w:val="32"/>
          <w:szCs w:val="32"/>
        </w:rPr>
        <w:t>对象及资金分配方案，报经市财政局审核确认后，在宁波市政府信息公开网向社会公示5个工作日。经公示无异议后，由市财政局会同</w:t>
      </w:r>
      <w:r>
        <w:rPr>
          <w:rFonts w:hint="eastAsia" w:ascii="仿宋_GB2312" w:hAnsi="??" w:eastAsia="仿宋_GB2312" w:cs="仿宋_GB2312"/>
          <w:sz w:val="32"/>
          <w:szCs w:val="32"/>
        </w:rPr>
        <w:t>市能源局</w:t>
      </w:r>
      <w:r>
        <w:rPr>
          <w:rFonts w:hint="eastAsia" w:ascii="仿宋_GB2312" w:eastAsia="仿宋_GB2312" w:cs="仿宋_GB2312"/>
          <w:color w:val="000000"/>
          <w:sz w:val="32"/>
          <w:szCs w:val="32"/>
        </w:rPr>
        <w:t>下达资金拨付文件，根据资金拨付程序拨付兑现</w:t>
      </w:r>
      <w:r>
        <w:rPr>
          <w:rFonts w:hint="eastAsia" w:ascii="仿宋_GB2312" w:hAnsi="仿宋_GB2312" w:eastAsia="仿宋_GB2312" w:cs="仿宋_GB2312"/>
          <w:sz w:val="32"/>
          <w:szCs w:val="32"/>
        </w:rPr>
        <w:t>奖补</w:t>
      </w:r>
      <w:r>
        <w:rPr>
          <w:rFonts w:hint="eastAsia" w:ascii="仿宋_GB2312" w:eastAsia="仿宋_GB2312" w:cs="仿宋_GB2312"/>
          <w:color w:val="000000"/>
          <w:sz w:val="32"/>
          <w:szCs w:val="32"/>
        </w:rPr>
        <w:t>资金。</w:t>
      </w:r>
    </w:p>
    <w:p>
      <w:pPr>
        <w:spacing w:line="560" w:lineRule="exact"/>
        <w:jc w:val="center"/>
        <w:outlineLvl w:val="0"/>
        <w:rPr>
          <w:rFonts w:ascii="仿宋_GB2312" w:hAnsi="黑体"/>
          <w:szCs w:val="32"/>
        </w:rPr>
      </w:pPr>
      <w:r>
        <w:rPr>
          <w:rFonts w:hint="eastAsia" w:ascii="黑体" w:hAnsi="黑体" w:eastAsia="黑体"/>
          <w:kern w:val="0"/>
          <w:szCs w:val="32"/>
        </w:rPr>
        <w:t xml:space="preserve">第五章  </w:t>
      </w:r>
      <w:r>
        <w:rPr>
          <w:rFonts w:hint="eastAsia" w:ascii="黑体" w:hAnsi="黑体" w:eastAsia="黑体" w:cs="仿宋_GB2312"/>
          <w:szCs w:val="32"/>
        </w:rPr>
        <w:t>绩效监管</w:t>
      </w:r>
    </w:p>
    <w:p>
      <w:pPr>
        <w:spacing w:line="560" w:lineRule="exact"/>
        <w:ind w:firstLine="640" w:firstLineChars="200"/>
        <w:jc w:val="left"/>
        <w:rPr>
          <w:rFonts w:ascii="仿宋_GB2312"/>
          <w:color w:val="000000"/>
          <w:szCs w:val="32"/>
        </w:rPr>
      </w:pPr>
      <w:r>
        <w:rPr>
          <w:rFonts w:hint="eastAsia" w:ascii="黑体" w:hAnsi="黑体" w:eastAsia="黑体" w:cs="黑体"/>
          <w:szCs w:val="32"/>
        </w:rPr>
        <w:t>第十七条</w:t>
      </w:r>
      <w:r>
        <w:rPr>
          <w:rFonts w:ascii="仿宋_GB2312" w:cs="仿宋_GB2312"/>
          <w:szCs w:val="32"/>
        </w:rPr>
        <w:t xml:space="preserve"> </w:t>
      </w:r>
      <w:r>
        <w:rPr>
          <w:rFonts w:hint="eastAsia" w:ascii="仿宋_GB2312" w:cs="仿宋_GB2312"/>
          <w:szCs w:val="32"/>
        </w:rPr>
        <w:t>市</w:t>
      </w:r>
      <w:r>
        <w:rPr>
          <w:rFonts w:hint="eastAsia" w:ascii="仿宋_GB2312" w:hAnsi="楷体_GB2312" w:cs="仿宋_GB2312"/>
          <w:szCs w:val="32"/>
        </w:rPr>
        <w:t>财政局会同</w:t>
      </w:r>
      <w:r>
        <w:rPr>
          <w:rFonts w:hint="eastAsia" w:ascii="仿宋_GB2312" w:hAnsi="??" w:cs="仿宋_GB2312"/>
          <w:szCs w:val="32"/>
        </w:rPr>
        <w:t>市能源局</w:t>
      </w:r>
      <w:r>
        <w:rPr>
          <w:rFonts w:hint="eastAsia" w:ascii="仿宋_GB2312" w:hAnsi="楷体_GB2312" w:cs="仿宋_GB2312"/>
          <w:szCs w:val="32"/>
        </w:rPr>
        <w:t>按要求实施预算绩效监控，</w:t>
      </w:r>
      <w:r>
        <w:rPr>
          <w:rFonts w:hint="eastAsia" w:ascii="仿宋_GB2312" w:hAnsi="??" w:cs="仿宋_GB2312"/>
          <w:szCs w:val="32"/>
        </w:rPr>
        <w:t>市能源局</w:t>
      </w:r>
      <w:r>
        <w:rPr>
          <w:rFonts w:hint="eastAsia" w:ascii="仿宋_GB2312" w:hAnsi="楷体_GB2312" w:cs="仿宋_GB2312"/>
          <w:szCs w:val="32"/>
        </w:rPr>
        <w:t>是实施预算绩效监控主体，重点监控奖补资金使用是否符合预期绩效目标，发现绩效运行与预期目标发生偏离时，应当及时采取措施予以纠正。</w:t>
      </w:r>
    </w:p>
    <w:p>
      <w:pPr>
        <w:spacing w:line="560" w:lineRule="exact"/>
        <w:ind w:firstLine="640" w:firstLineChars="200"/>
        <w:jc w:val="left"/>
        <w:rPr>
          <w:rFonts w:ascii="仿宋_GB2312" w:hAnsi="宋体"/>
          <w:spacing w:val="-6"/>
          <w:szCs w:val="32"/>
        </w:rPr>
      </w:pPr>
      <w:r>
        <w:rPr>
          <w:rFonts w:hint="eastAsia" w:ascii="黑体" w:hAnsi="黑体" w:eastAsia="黑体" w:cs="黑体"/>
          <w:szCs w:val="32"/>
        </w:rPr>
        <w:t xml:space="preserve">第十八条 </w:t>
      </w:r>
      <w:r>
        <w:rPr>
          <w:rFonts w:hint="eastAsia" w:ascii="仿宋_GB2312" w:hAnsi="仿宋_GB2312" w:cs="仿宋_GB2312"/>
          <w:szCs w:val="32"/>
        </w:rPr>
        <w:t xml:space="preserve"> </w:t>
      </w:r>
      <w:r>
        <w:rPr>
          <w:rFonts w:hint="eastAsia" w:ascii="仿宋_GB2312" w:cs="仿宋_GB2312"/>
          <w:color w:val="000000"/>
          <w:szCs w:val="32"/>
        </w:rPr>
        <w:t>申报单位对申报材料的合法性</w:t>
      </w:r>
      <w:r>
        <w:rPr>
          <w:rFonts w:hint="eastAsia" w:ascii="仿宋_GB2312" w:hAnsi="仿宋_GB2312" w:cs="仿宋_GB2312"/>
          <w:szCs w:val="32"/>
        </w:rPr>
        <w:t>、</w:t>
      </w:r>
      <w:r>
        <w:rPr>
          <w:rFonts w:hint="eastAsia" w:ascii="仿宋_GB2312" w:cs="仿宋_GB2312"/>
          <w:color w:val="000000"/>
          <w:szCs w:val="32"/>
        </w:rPr>
        <w:t>真实性</w:t>
      </w:r>
      <w:r>
        <w:rPr>
          <w:rFonts w:hint="eastAsia" w:ascii="仿宋_GB2312" w:hAnsi="仿宋_GB2312" w:cs="仿宋_GB2312"/>
          <w:szCs w:val="32"/>
        </w:rPr>
        <w:t>、准确性</w:t>
      </w:r>
      <w:r>
        <w:rPr>
          <w:rFonts w:hint="eastAsia" w:ascii="仿宋_GB2312" w:cs="仿宋_GB2312"/>
          <w:color w:val="000000"/>
          <w:szCs w:val="32"/>
        </w:rPr>
        <w:t>承担法律责任，自觉接受监管和检查。对于采用虚假信息、骗取财政资金的行为，</w:t>
      </w:r>
      <w:r>
        <w:rPr>
          <w:rFonts w:hint="eastAsia" w:ascii="仿宋_GB2312" w:cs="仿宋_GB2312"/>
          <w:color w:val="FF0000"/>
          <w:szCs w:val="32"/>
        </w:rPr>
        <w:t>一经查实，追回违反规定使用、骗取的资金，</w:t>
      </w:r>
      <w:r>
        <w:rPr>
          <w:rFonts w:hint="eastAsia" w:ascii="仿宋_GB2312" w:cs="仿宋_GB2312"/>
          <w:color w:val="000000"/>
          <w:szCs w:val="32"/>
        </w:rPr>
        <w:t>同时按照《财政违法行为处罚处分条例》等有关法规进行查处，并纳入信用体系，</w:t>
      </w:r>
      <w:r>
        <w:rPr>
          <w:rFonts w:hint="eastAsia" w:ascii="仿宋_GB2312" w:hAnsi="宋体" w:cs="仿宋_GB2312"/>
          <w:spacing w:val="-6"/>
          <w:szCs w:val="32"/>
        </w:rPr>
        <w:t>构成违法或犯罪的，移送相关部门依法处理。</w:t>
      </w:r>
    </w:p>
    <w:p>
      <w:pPr>
        <w:spacing w:line="560" w:lineRule="exact"/>
        <w:jc w:val="center"/>
        <w:outlineLvl w:val="0"/>
        <w:rPr>
          <w:rFonts w:ascii="黑体" w:hAnsi="黑体" w:eastAsia="黑体"/>
          <w:szCs w:val="32"/>
        </w:rPr>
      </w:pPr>
      <w:r>
        <w:rPr>
          <w:rFonts w:hint="eastAsia" w:ascii="黑体" w:hAnsi="黑体" w:eastAsia="黑体" w:cs="仿宋_GB2312"/>
          <w:szCs w:val="32"/>
        </w:rPr>
        <w:t>第六章</w:t>
      </w:r>
      <w:r>
        <w:rPr>
          <w:rFonts w:ascii="黑体" w:hAnsi="黑体" w:eastAsia="黑体" w:cs="仿宋_GB2312"/>
          <w:szCs w:val="32"/>
        </w:rPr>
        <w:t xml:space="preserve"> </w:t>
      </w:r>
      <w:r>
        <w:rPr>
          <w:rFonts w:hint="eastAsia" w:ascii="黑体" w:hAnsi="黑体" w:eastAsia="黑体" w:cs="仿宋_GB2312"/>
          <w:szCs w:val="32"/>
        </w:rPr>
        <w:t>附则</w:t>
      </w:r>
    </w:p>
    <w:p>
      <w:pPr>
        <w:spacing w:line="560" w:lineRule="exact"/>
        <w:ind w:firstLine="640" w:firstLineChars="200"/>
        <w:jc w:val="left"/>
        <w:rPr>
          <w:rFonts w:ascii="仿宋_GB2312"/>
          <w:szCs w:val="32"/>
        </w:rPr>
      </w:pPr>
      <w:r>
        <w:rPr>
          <w:rFonts w:hint="eastAsia" w:ascii="黑体" w:hAnsi="黑体" w:eastAsia="黑体" w:cs="黑体"/>
          <w:szCs w:val="32"/>
        </w:rPr>
        <w:t xml:space="preserve">第十九条 </w:t>
      </w:r>
      <w:r>
        <w:rPr>
          <w:rFonts w:ascii="仿宋_GB2312" w:hAnsi="楷体_GB2312" w:cs="仿宋_GB2312"/>
          <w:szCs w:val="32"/>
        </w:rPr>
        <w:t xml:space="preserve"> </w:t>
      </w:r>
      <w:r>
        <w:rPr>
          <w:rFonts w:hint="eastAsia" w:ascii="仿宋_GB2312" w:cs="仿宋_GB2312"/>
          <w:szCs w:val="32"/>
        </w:rPr>
        <w:t>本办法由</w:t>
      </w:r>
      <w:r>
        <w:rPr>
          <w:rFonts w:hint="eastAsia" w:ascii="仿宋_GB2312"/>
          <w:szCs w:val="32"/>
        </w:rPr>
        <w:t>市能源局</w:t>
      </w:r>
      <w:r>
        <w:rPr>
          <w:rFonts w:hint="eastAsia" w:ascii="仿宋_GB2312" w:cs="仿宋_GB2312"/>
          <w:szCs w:val="32"/>
        </w:rPr>
        <w:t>会同市财政局负责解释。</w:t>
      </w:r>
    </w:p>
    <w:p>
      <w:pPr>
        <w:adjustRightInd w:val="0"/>
        <w:snapToGrid w:val="0"/>
        <w:spacing w:line="560" w:lineRule="exact"/>
        <w:ind w:firstLine="640" w:firstLineChars="200"/>
        <w:jc w:val="left"/>
        <w:rPr>
          <w:rFonts w:ascii="仿宋_GB2312" w:hAnsi="仿宋_GB2312" w:cs="仿宋_GB2312"/>
          <w:szCs w:val="32"/>
        </w:rPr>
      </w:pPr>
      <w:r>
        <w:rPr>
          <w:rFonts w:hint="eastAsia" w:ascii="黑体" w:hAnsi="黑体" w:eastAsia="黑体" w:cs="黑体"/>
          <w:szCs w:val="32"/>
        </w:rPr>
        <w:t xml:space="preserve">第二十条 </w:t>
      </w:r>
      <w:r>
        <w:rPr>
          <w:rFonts w:hint="eastAsia" w:ascii="仿宋_GB2312" w:hAnsi="楷体_GB2312" w:cs="仿宋_GB2312"/>
          <w:szCs w:val="32"/>
        </w:rPr>
        <w:t xml:space="preserve"> </w:t>
      </w:r>
      <w:r>
        <w:rPr>
          <w:rFonts w:hint="eastAsia" w:ascii="仿宋_GB2312"/>
          <w:szCs w:val="32"/>
        </w:rPr>
        <w:t>本办法自</w:t>
      </w:r>
      <w:r>
        <w:rPr>
          <w:rFonts w:hint="eastAsia" w:ascii="仿宋_GB2312" w:hAnsi="仿宋_GB2312" w:cs="仿宋_GB2312"/>
          <w:szCs w:val="32"/>
        </w:rPr>
        <w:t>2021年1月1日</w:t>
      </w:r>
      <w:r>
        <w:rPr>
          <w:rFonts w:hint="eastAsia" w:ascii="仿宋_GB2312"/>
          <w:szCs w:val="32"/>
        </w:rPr>
        <w:t>起施行</w:t>
      </w:r>
      <w:r>
        <w:rPr>
          <w:rFonts w:hint="eastAsia" w:ascii="仿宋_GB2312" w:cs="仿宋_GB2312"/>
          <w:szCs w:val="32"/>
        </w:rPr>
        <w:t>。</w:t>
      </w:r>
      <w:r>
        <w:rPr>
          <w:rFonts w:hint="eastAsia" w:ascii="仿宋_GB2312" w:hAnsi="仿宋_GB2312" w:cs="仿宋_GB2312"/>
          <w:szCs w:val="32"/>
        </w:rPr>
        <w:t>执行期满后，根据国家政策、产业发展及绩效情况，研究确定是否继续实施。</w:t>
      </w:r>
    </w:p>
    <w:p>
      <w:pPr>
        <w:pStyle w:val="8"/>
        <w:wordWrap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鼓励有条件的区（县）市出台充电设施奖补支持政策。</w:t>
      </w:r>
    </w:p>
    <w:p>
      <w:pPr>
        <w:pStyle w:val="8"/>
        <w:wordWrap w:val="0"/>
        <w:spacing w:line="560" w:lineRule="exact"/>
        <w:ind w:firstLine="640" w:firstLineChars="200"/>
        <w:jc w:val="both"/>
        <w:rPr>
          <w:rFonts w:ascii="仿宋_GB2312" w:hAnsi="仿宋_GB2312" w:eastAsia="仿宋_GB2312" w:cs="仿宋_GB2312"/>
          <w:sz w:val="32"/>
          <w:szCs w:val="32"/>
        </w:rPr>
      </w:pPr>
    </w:p>
    <w:p>
      <w:pPr>
        <w:pStyle w:val="8"/>
        <w:wordWrap w:val="0"/>
        <w:spacing w:line="560" w:lineRule="exact"/>
        <w:ind w:firstLine="640" w:firstLineChars="200"/>
        <w:jc w:val="both"/>
        <w:rPr>
          <w:rFonts w:ascii="仿宋_GB2312" w:hAnsi="仿宋_GB2312" w:eastAsia="仿宋_GB2312" w:cs="仿宋_GB2312"/>
          <w:sz w:val="32"/>
          <w:szCs w:val="32"/>
        </w:rPr>
      </w:pPr>
    </w:p>
    <w:p>
      <w:pPr>
        <w:pStyle w:val="8"/>
        <w:wordWrap w:val="0"/>
        <w:spacing w:line="560" w:lineRule="exact"/>
        <w:ind w:firstLine="640" w:firstLineChars="200"/>
        <w:jc w:val="both"/>
        <w:rPr>
          <w:rFonts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1701"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ind w:right="256" w:rightChars="8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pStyle w:val="6"/>
                      <w:ind w:right="256" w:rightChars="8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6"/>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F58A8"/>
    <w:multiLevelType w:val="multilevel"/>
    <w:tmpl w:val="5D9F58A8"/>
    <w:lvl w:ilvl="0" w:tentative="0">
      <w:start w:val="1"/>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evenAndOddHeaders w:val="1"/>
  <w:drawingGridHorizontalSpacing w:val="160"/>
  <w:drawingGridVerticalSpacing w:val="220"/>
  <w:displayHorizontalDrawingGridEvery w:val="0"/>
  <w:displayVerticalDrawingGridEvery w:val="2"/>
  <w:doNotUseMarginsForDrawingGridOrigin w:val="1"/>
  <w:drawingGridHorizontalOrigin w:val="1417"/>
  <w:drawingGridVerticalOrigin w:val="181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3B"/>
    <w:rsid w:val="00001EA8"/>
    <w:rsid w:val="0000346B"/>
    <w:rsid w:val="0001430A"/>
    <w:rsid w:val="00015648"/>
    <w:rsid w:val="00021529"/>
    <w:rsid w:val="00022B55"/>
    <w:rsid w:val="00026A41"/>
    <w:rsid w:val="00032B58"/>
    <w:rsid w:val="00042280"/>
    <w:rsid w:val="00046369"/>
    <w:rsid w:val="00060F57"/>
    <w:rsid w:val="00064992"/>
    <w:rsid w:val="00065EF3"/>
    <w:rsid w:val="000661EB"/>
    <w:rsid w:val="000672D7"/>
    <w:rsid w:val="000740EE"/>
    <w:rsid w:val="000747C1"/>
    <w:rsid w:val="00075806"/>
    <w:rsid w:val="000844D4"/>
    <w:rsid w:val="00086717"/>
    <w:rsid w:val="00087765"/>
    <w:rsid w:val="000959F1"/>
    <w:rsid w:val="000A03A9"/>
    <w:rsid w:val="000A1EFD"/>
    <w:rsid w:val="000B4BB8"/>
    <w:rsid w:val="000B6A8B"/>
    <w:rsid w:val="000C3C37"/>
    <w:rsid w:val="000D0C91"/>
    <w:rsid w:val="000D7872"/>
    <w:rsid w:val="000F37D4"/>
    <w:rsid w:val="001023CA"/>
    <w:rsid w:val="001025A1"/>
    <w:rsid w:val="00103F88"/>
    <w:rsid w:val="00110FFF"/>
    <w:rsid w:val="00117900"/>
    <w:rsid w:val="001221C0"/>
    <w:rsid w:val="00124F10"/>
    <w:rsid w:val="00140056"/>
    <w:rsid w:val="00146B4F"/>
    <w:rsid w:val="00146D85"/>
    <w:rsid w:val="00152743"/>
    <w:rsid w:val="0016637D"/>
    <w:rsid w:val="00174B06"/>
    <w:rsid w:val="00177C52"/>
    <w:rsid w:val="00181AD0"/>
    <w:rsid w:val="001919E8"/>
    <w:rsid w:val="001A10D6"/>
    <w:rsid w:val="001A59E8"/>
    <w:rsid w:val="001B0706"/>
    <w:rsid w:val="001B19A9"/>
    <w:rsid w:val="001B7F7E"/>
    <w:rsid w:val="001D3055"/>
    <w:rsid w:val="001D56F2"/>
    <w:rsid w:val="001E625D"/>
    <w:rsid w:val="001E7308"/>
    <w:rsid w:val="001E7FE5"/>
    <w:rsid w:val="001F06C3"/>
    <w:rsid w:val="00201BA8"/>
    <w:rsid w:val="00214377"/>
    <w:rsid w:val="002346B6"/>
    <w:rsid w:val="00237BD3"/>
    <w:rsid w:val="00247638"/>
    <w:rsid w:val="0026531B"/>
    <w:rsid w:val="0027206C"/>
    <w:rsid w:val="00280754"/>
    <w:rsid w:val="00281B36"/>
    <w:rsid w:val="00281B5A"/>
    <w:rsid w:val="002A17F2"/>
    <w:rsid w:val="002A46E1"/>
    <w:rsid w:val="002B21C0"/>
    <w:rsid w:val="002B29EB"/>
    <w:rsid w:val="002B67FD"/>
    <w:rsid w:val="002B7EE7"/>
    <w:rsid w:val="002C4163"/>
    <w:rsid w:val="002D1892"/>
    <w:rsid w:val="002D50DD"/>
    <w:rsid w:val="002E398A"/>
    <w:rsid w:val="002E7851"/>
    <w:rsid w:val="002F04F5"/>
    <w:rsid w:val="0030772B"/>
    <w:rsid w:val="00321CAF"/>
    <w:rsid w:val="00322344"/>
    <w:rsid w:val="00325A0A"/>
    <w:rsid w:val="0034235E"/>
    <w:rsid w:val="00350704"/>
    <w:rsid w:val="00355C5C"/>
    <w:rsid w:val="00361B10"/>
    <w:rsid w:val="00362E31"/>
    <w:rsid w:val="00364F71"/>
    <w:rsid w:val="003652E8"/>
    <w:rsid w:val="00371FD0"/>
    <w:rsid w:val="003761A5"/>
    <w:rsid w:val="00376466"/>
    <w:rsid w:val="00384580"/>
    <w:rsid w:val="00385FC1"/>
    <w:rsid w:val="00396012"/>
    <w:rsid w:val="003A5560"/>
    <w:rsid w:val="003A58CC"/>
    <w:rsid w:val="003B39AB"/>
    <w:rsid w:val="003B7D40"/>
    <w:rsid w:val="003C1A05"/>
    <w:rsid w:val="003C34A9"/>
    <w:rsid w:val="003D2C8A"/>
    <w:rsid w:val="003D5DE5"/>
    <w:rsid w:val="003E7166"/>
    <w:rsid w:val="003E7378"/>
    <w:rsid w:val="003F76A0"/>
    <w:rsid w:val="00400A61"/>
    <w:rsid w:val="00402D61"/>
    <w:rsid w:val="00404BA8"/>
    <w:rsid w:val="0041048F"/>
    <w:rsid w:val="00410774"/>
    <w:rsid w:val="00414317"/>
    <w:rsid w:val="00417E4D"/>
    <w:rsid w:val="00431560"/>
    <w:rsid w:val="004379D7"/>
    <w:rsid w:val="00440C95"/>
    <w:rsid w:val="0044170B"/>
    <w:rsid w:val="0044411D"/>
    <w:rsid w:val="00450459"/>
    <w:rsid w:val="004509DE"/>
    <w:rsid w:val="00457D10"/>
    <w:rsid w:val="00471BB1"/>
    <w:rsid w:val="00493B4C"/>
    <w:rsid w:val="004A4E3A"/>
    <w:rsid w:val="004B4BAE"/>
    <w:rsid w:val="004C2E6E"/>
    <w:rsid w:val="004C43E7"/>
    <w:rsid w:val="004C65BC"/>
    <w:rsid w:val="004C7F2E"/>
    <w:rsid w:val="004D5B96"/>
    <w:rsid w:val="004E1E1A"/>
    <w:rsid w:val="004E1F15"/>
    <w:rsid w:val="004E244E"/>
    <w:rsid w:val="004F0DCA"/>
    <w:rsid w:val="004F7D35"/>
    <w:rsid w:val="00507BB5"/>
    <w:rsid w:val="00510022"/>
    <w:rsid w:val="005109EE"/>
    <w:rsid w:val="00512919"/>
    <w:rsid w:val="00516C08"/>
    <w:rsid w:val="00521BF5"/>
    <w:rsid w:val="00524CC9"/>
    <w:rsid w:val="005332CB"/>
    <w:rsid w:val="00535598"/>
    <w:rsid w:val="00541CD9"/>
    <w:rsid w:val="00547C46"/>
    <w:rsid w:val="00551153"/>
    <w:rsid w:val="005605CA"/>
    <w:rsid w:val="005610DF"/>
    <w:rsid w:val="0056218A"/>
    <w:rsid w:val="005703FC"/>
    <w:rsid w:val="00572540"/>
    <w:rsid w:val="00574069"/>
    <w:rsid w:val="00574760"/>
    <w:rsid w:val="005752F3"/>
    <w:rsid w:val="0058799A"/>
    <w:rsid w:val="00590078"/>
    <w:rsid w:val="0059046B"/>
    <w:rsid w:val="00592FA5"/>
    <w:rsid w:val="005969C7"/>
    <w:rsid w:val="005A2574"/>
    <w:rsid w:val="005C0A49"/>
    <w:rsid w:val="005C261D"/>
    <w:rsid w:val="005C5640"/>
    <w:rsid w:val="005C6910"/>
    <w:rsid w:val="005D134C"/>
    <w:rsid w:val="005D458C"/>
    <w:rsid w:val="005E2921"/>
    <w:rsid w:val="005E33BE"/>
    <w:rsid w:val="005F48E9"/>
    <w:rsid w:val="005F5D4F"/>
    <w:rsid w:val="005F6233"/>
    <w:rsid w:val="005F6348"/>
    <w:rsid w:val="005F77B5"/>
    <w:rsid w:val="00603E03"/>
    <w:rsid w:val="00604393"/>
    <w:rsid w:val="006058B4"/>
    <w:rsid w:val="006064EF"/>
    <w:rsid w:val="00620F95"/>
    <w:rsid w:val="00622EB6"/>
    <w:rsid w:val="006249D5"/>
    <w:rsid w:val="006251DC"/>
    <w:rsid w:val="00630960"/>
    <w:rsid w:val="0064058C"/>
    <w:rsid w:val="006506D1"/>
    <w:rsid w:val="00654D43"/>
    <w:rsid w:val="00656E74"/>
    <w:rsid w:val="006618BE"/>
    <w:rsid w:val="00664155"/>
    <w:rsid w:val="00670899"/>
    <w:rsid w:val="00686799"/>
    <w:rsid w:val="00695990"/>
    <w:rsid w:val="006963BD"/>
    <w:rsid w:val="006A5487"/>
    <w:rsid w:val="006A5C32"/>
    <w:rsid w:val="006A682B"/>
    <w:rsid w:val="006D5503"/>
    <w:rsid w:val="006D5EEC"/>
    <w:rsid w:val="006D6D1D"/>
    <w:rsid w:val="006D6F34"/>
    <w:rsid w:val="006E2BE3"/>
    <w:rsid w:val="006E7D8B"/>
    <w:rsid w:val="006F5CD4"/>
    <w:rsid w:val="007052A6"/>
    <w:rsid w:val="00711C9F"/>
    <w:rsid w:val="00712305"/>
    <w:rsid w:val="00714265"/>
    <w:rsid w:val="00715B14"/>
    <w:rsid w:val="0072053B"/>
    <w:rsid w:val="00756F99"/>
    <w:rsid w:val="0076282C"/>
    <w:rsid w:val="00774827"/>
    <w:rsid w:val="0079005C"/>
    <w:rsid w:val="00790F3C"/>
    <w:rsid w:val="00793434"/>
    <w:rsid w:val="0079412F"/>
    <w:rsid w:val="007A336C"/>
    <w:rsid w:val="007A39B2"/>
    <w:rsid w:val="007A445B"/>
    <w:rsid w:val="007B067D"/>
    <w:rsid w:val="007B1E55"/>
    <w:rsid w:val="007C0039"/>
    <w:rsid w:val="007C04C2"/>
    <w:rsid w:val="007D4A3E"/>
    <w:rsid w:val="007D6B87"/>
    <w:rsid w:val="007E037C"/>
    <w:rsid w:val="007E2CEA"/>
    <w:rsid w:val="008000C9"/>
    <w:rsid w:val="00800ECE"/>
    <w:rsid w:val="00804DA8"/>
    <w:rsid w:val="008051CC"/>
    <w:rsid w:val="0080593D"/>
    <w:rsid w:val="00812166"/>
    <w:rsid w:val="00820452"/>
    <w:rsid w:val="008208F1"/>
    <w:rsid w:val="00821B99"/>
    <w:rsid w:val="00827C81"/>
    <w:rsid w:val="00830773"/>
    <w:rsid w:val="00835D47"/>
    <w:rsid w:val="008472C3"/>
    <w:rsid w:val="00850EE1"/>
    <w:rsid w:val="00853B2C"/>
    <w:rsid w:val="0086117F"/>
    <w:rsid w:val="00866F92"/>
    <w:rsid w:val="0088487A"/>
    <w:rsid w:val="00895858"/>
    <w:rsid w:val="008A0A54"/>
    <w:rsid w:val="008A53EA"/>
    <w:rsid w:val="008B2227"/>
    <w:rsid w:val="008B54D4"/>
    <w:rsid w:val="008C0A0B"/>
    <w:rsid w:val="008C7E03"/>
    <w:rsid w:val="008E55D6"/>
    <w:rsid w:val="008F21EF"/>
    <w:rsid w:val="008F6373"/>
    <w:rsid w:val="008F7596"/>
    <w:rsid w:val="00902615"/>
    <w:rsid w:val="00906872"/>
    <w:rsid w:val="00910F5D"/>
    <w:rsid w:val="00912EEE"/>
    <w:rsid w:val="00913226"/>
    <w:rsid w:val="0092190D"/>
    <w:rsid w:val="009332E0"/>
    <w:rsid w:val="00934903"/>
    <w:rsid w:val="00936D43"/>
    <w:rsid w:val="009416EF"/>
    <w:rsid w:val="0094274B"/>
    <w:rsid w:val="00945527"/>
    <w:rsid w:val="009460A5"/>
    <w:rsid w:val="00986B37"/>
    <w:rsid w:val="0099163B"/>
    <w:rsid w:val="00995A68"/>
    <w:rsid w:val="009A04E8"/>
    <w:rsid w:val="009B25EA"/>
    <w:rsid w:val="009B300D"/>
    <w:rsid w:val="009C2808"/>
    <w:rsid w:val="009C4B13"/>
    <w:rsid w:val="009E615C"/>
    <w:rsid w:val="009F5F9F"/>
    <w:rsid w:val="009F7E8E"/>
    <w:rsid w:val="00A07486"/>
    <w:rsid w:val="00A07ABE"/>
    <w:rsid w:val="00A12AA3"/>
    <w:rsid w:val="00A12F48"/>
    <w:rsid w:val="00A17D8A"/>
    <w:rsid w:val="00A211B1"/>
    <w:rsid w:val="00A25297"/>
    <w:rsid w:val="00A4121B"/>
    <w:rsid w:val="00A528D7"/>
    <w:rsid w:val="00A5339F"/>
    <w:rsid w:val="00A57199"/>
    <w:rsid w:val="00A61544"/>
    <w:rsid w:val="00A6651A"/>
    <w:rsid w:val="00A676C3"/>
    <w:rsid w:val="00A71D8C"/>
    <w:rsid w:val="00A8189D"/>
    <w:rsid w:val="00A837DE"/>
    <w:rsid w:val="00A916D1"/>
    <w:rsid w:val="00AA4F2F"/>
    <w:rsid w:val="00AC0313"/>
    <w:rsid w:val="00AC06F8"/>
    <w:rsid w:val="00AC538C"/>
    <w:rsid w:val="00AC79E7"/>
    <w:rsid w:val="00AC7E7F"/>
    <w:rsid w:val="00AD7C1E"/>
    <w:rsid w:val="00AE0727"/>
    <w:rsid w:val="00AE4900"/>
    <w:rsid w:val="00AE5D41"/>
    <w:rsid w:val="00AE6533"/>
    <w:rsid w:val="00AE774F"/>
    <w:rsid w:val="00B06CE4"/>
    <w:rsid w:val="00B16AC2"/>
    <w:rsid w:val="00B17CAD"/>
    <w:rsid w:val="00B270B7"/>
    <w:rsid w:val="00B275FE"/>
    <w:rsid w:val="00B424A2"/>
    <w:rsid w:val="00B44C54"/>
    <w:rsid w:val="00B5212F"/>
    <w:rsid w:val="00B6035E"/>
    <w:rsid w:val="00B613E8"/>
    <w:rsid w:val="00B6332F"/>
    <w:rsid w:val="00B63816"/>
    <w:rsid w:val="00B6465C"/>
    <w:rsid w:val="00B7055B"/>
    <w:rsid w:val="00B72651"/>
    <w:rsid w:val="00B830F3"/>
    <w:rsid w:val="00B87E4C"/>
    <w:rsid w:val="00B940B7"/>
    <w:rsid w:val="00B946D8"/>
    <w:rsid w:val="00B95BF5"/>
    <w:rsid w:val="00B96D35"/>
    <w:rsid w:val="00B96D6B"/>
    <w:rsid w:val="00B97BE9"/>
    <w:rsid w:val="00BA4223"/>
    <w:rsid w:val="00BA6594"/>
    <w:rsid w:val="00BB0295"/>
    <w:rsid w:val="00BB6995"/>
    <w:rsid w:val="00BC03BC"/>
    <w:rsid w:val="00BC7831"/>
    <w:rsid w:val="00BD6929"/>
    <w:rsid w:val="00BD7936"/>
    <w:rsid w:val="00BD7AF2"/>
    <w:rsid w:val="00BE65FF"/>
    <w:rsid w:val="00C14FA5"/>
    <w:rsid w:val="00C230D5"/>
    <w:rsid w:val="00C23FA1"/>
    <w:rsid w:val="00C249C6"/>
    <w:rsid w:val="00C261D7"/>
    <w:rsid w:val="00C35E10"/>
    <w:rsid w:val="00C3679F"/>
    <w:rsid w:val="00C46C2A"/>
    <w:rsid w:val="00C54A64"/>
    <w:rsid w:val="00C57070"/>
    <w:rsid w:val="00C63B4D"/>
    <w:rsid w:val="00C772B0"/>
    <w:rsid w:val="00C82967"/>
    <w:rsid w:val="00C91E79"/>
    <w:rsid w:val="00C92893"/>
    <w:rsid w:val="00C92BA1"/>
    <w:rsid w:val="00C94789"/>
    <w:rsid w:val="00C95585"/>
    <w:rsid w:val="00C97F95"/>
    <w:rsid w:val="00CA0749"/>
    <w:rsid w:val="00CA3D36"/>
    <w:rsid w:val="00CA6E68"/>
    <w:rsid w:val="00CB7607"/>
    <w:rsid w:val="00CD4934"/>
    <w:rsid w:val="00CD5588"/>
    <w:rsid w:val="00CE4C53"/>
    <w:rsid w:val="00CE4F51"/>
    <w:rsid w:val="00CE5811"/>
    <w:rsid w:val="00CF0966"/>
    <w:rsid w:val="00CF22B8"/>
    <w:rsid w:val="00D07553"/>
    <w:rsid w:val="00D11C19"/>
    <w:rsid w:val="00D123BF"/>
    <w:rsid w:val="00D12633"/>
    <w:rsid w:val="00D12899"/>
    <w:rsid w:val="00D1514B"/>
    <w:rsid w:val="00D16AD8"/>
    <w:rsid w:val="00D26D14"/>
    <w:rsid w:val="00D31933"/>
    <w:rsid w:val="00D32407"/>
    <w:rsid w:val="00D32629"/>
    <w:rsid w:val="00D41B43"/>
    <w:rsid w:val="00D42BCD"/>
    <w:rsid w:val="00D47007"/>
    <w:rsid w:val="00D50E3E"/>
    <w:rsid w:val="00D527E4"/>
    <w:rsid w:val="00D72142"/>
    <w:rsid w:val="00D75B48"/>
    <w:rsid w:val="00D808F1"/>
    <w:rsid w:val="00D83FEE"/>
    <w:rsid w:val="00D86C68"/>
    <w:rsid w:val="00D90308"/>
    <w:rsid w:val="00D91EE7"/>
    <w:rsid w:val="00D9337E"/>
    <w:rsid w:val="00D95A4D"/>
    <w:rsid w:val="00DA36B4"/>
    <w:rsid w:val="00DB15B9"/>
    <w:rsid w:val="00DC0806"/>
    <w:rsid w:val="00DC24E0"/>
    <w:rsid w:val="00DC67D7"/>
    <w:rsid w:val="00DD51E5"/>
    <w:rsid w:val="00DE6D12"/>
    <w:rsid w:val="00DE7B35"/>
    <w:rsid w:val="00DF1769"/>
    <w:rsid w:val="00DF24E4"/>
    <w:rsid w:val="00DF4CD8"/>
    <w:rsid w:val="00DF5182"/>
    <w:rsid w:val="00E26739"/>
    <w:rsid w:val="00E26E75"/>
    <w:rsid w:val="00E37F0B"/>
    <w:rsid w:val="00E42B52"/>
    <w:rsid w:val="00E471D0"/>
    <w:rsid w:val="00E5517A"/>
    <w:rsid w:val="00E642CA"/>
    <w:rsid w:val="00E728DB"/>
    <w:rsid w:val="00E72AFF"/>
    <w:rsid w:val="00E761EB"/>
    <w:rsid w:val="00E84AE8"/>
    <w:rsid w:val="00E87006"/>
    <w:rsid w:val="00E87510"/>
    <w:rsid w:val="00E876EE"/>
    <w:rsid w:val="00E90943"/>
    <w:rsid w:val="00EA2627"/>
    <w:rsid w:val="00EA4F7A"/>
    <w:rsid w:val="00EB5BCA"/>
    <w:rsid w:val="00ED1832"/>
    <w:rsid w:val="00ED1EEB"/>
    <w:rsid w:val="00EF041B"/>
    <w:rsid w:val="00EF0971"/>
    <w:rsid w:val="00EF0D89"/>
    <w:rsid w:val="00F01371"/>
    <w:rsid w:val="00F11035"/>
    <w:rsid w:val="00F141F4"/>
    <w:rsid w:val="00F16092"/>
    <w:rsid w:val="00F20322"/>
    <w:rsid w:val="00F302F1"/>
    <w:rsid w:val="00F314F7"/>
    <w:rsid w:val="00F329C6"/>
    <w:rsid w:val="00F42881"/>
    <w:rsid w:val="00F43AD4"/>
    <w:rsid w:val="00F45674"/>
    <w:rsid w:val="00F5035D"/>
    <w:rsid w:val="00F530B2"/>
    <w:rsid w:val="00F57E86"/>
    <w:rsid w:val="00F643D8"/>
    <w:rsid w:val="00F65234"/>
    <w:rsid w:val="00F84227"/>
    <w:rsid w:val="00F85B7A"/>
    <w:rsid w:val="00F96EE3"/>
    <w:rsid w:val="00FA2ACB"/>
    <w:rsid w:val="00FA2E33"/>
    <w:rsid w:val="00FB174F"/>
    <w:rsid w:val="00FC5CC0"/>
    <w:rsid w:val="00FD277F"/>
    <w:rsid w:val="00FD4E7C"/>
    <w:rsid w:val="00FE3E81"/>
    <w:rsid w:val="00FE7C99"/>
    <w:rsid w:val="00FE7F14"/>
    <w:rsid w:val="00FF6F91"/>
    <w:rsid w:val="00FF7691"/>
    <w:rsid w:val="014D1024"/>
    <w:rsid w:val="0385067A"/>
    <w:rsid w:val="0397171F"/>
    <w:rsid w:val="039B0C7F"/>
    <w:rsid w:val="04A5465C"/>
    <w:rsid w:val="04AD5097"/>
    <w:rsid w:val="06137862"/>
    <w:rsid w:val="06911ADC"/>
    <w:rsid w:val="08091E8C"/>
    <w:rsid w:val="092D616F"/>
    <w:rsid w:val="09544E6B"/>
    <w:rsid w:val="09B069C8"/>
    <w:rsid w:val="0A2B5493"/>
    <w:rsid w:val="0A717D66"/>
    <w:rsid w:val="0AEB7E46"/>
    <w:rsid w:val="0D985276"/>
    <w:rsid w:val="0E9E73A5"/>
    <w:rsid w:val="106E12DB"/>
    <w:rsid w:val="107A21F5"/>
    <w:rsid w:val="10AB7ED0"/>
    <w:rsid w:val="11D80913"/>
    <w:rsid w:val="128026F9"/>
    <w:rsid w:val="141234FC"/>
    <w:rsid w:val="14D1580B"/>
    <w:rsid w:val="163D72C5"/>
    <w:rsid w:val="16687696"/>
    <w:rsid w:val="17096796"/>
    <w:rsid w:val="18297710"/>
    <w:rsid w:val="18624D13"/>
    <w:rsid w:val="18A570B0"/>
    <w:rsid w:val="19824890"/>
    <w:rsid w:val="1A3E1899"/>
    <w:rsid w:val="1AAB43CF"/>
    <w:rsid w:val="1AB2514E"/>
    <w:rsid w:val="1B294E14"/>
    <w:rsid w:val="1B6460AA"/>
    <w:rsid w:val="1BBC4FDA"/>
    <w:rsid w:val="1C7805B3"/>
    <w:rsid w:val="1CB0554B"/>
    <w:rsid w:val="1CBA17DF"/>
    <w:rsid w:val="1D214624"/>
    <w:rsid w:val="1EF37902"/>
    <w:rsid w:val="1EFC6A82"/>
    <w:rsid w:val="211F4A3C"/>
    <w:rsid w:val="222F2D7B"/>
    <w:rsid w:val="22742FE9"/>
    <w:rsid w:val="251402EF"/>
    <w:rsid w:val="26101891"/>
    <w:rsid w:val="28121CDA"/>
    <w:rsid w:val="281C6C04"/>
    <w:rsid w:val="28B51A3E"/>
    <w:rsid w:val="28BD6823"/>
    <w:rsid w:val="28BF2C9B"/>
    <w:rsid w:val="299B4935"/>
    <w:rsid w:val="29CF743A"/>
    <w:rsid w:val="2B180C47"/>
    <w:rsid w:val="2B3E77B4"/>
    <w:rsid w:val="2B545845"/>
    <w:rsid w:val="2C9D0EA0"/>
    <w:rsid w:val="2E7805A6"/>
    <w:rsid w:val="30894953"/>
    <w:rsid w:val="31CF6635"/>
    <w:rsid w:val="32235165"/>
    <w:rsid w:val="3381439C"/>
    <w:rsid w:val="34692E8D"/>
    <w:rsid w:val="349C3E82"/>
    <w:rsid w:val="356D0294"/>
    <w:rsid w:val="35AC370C"/>
    <w:rsid w:val="35B652C9"/>
    <w:rsid w:val="369508D0"/>
    <w:rsid w:val="38490550"/>
    <w:rsid w:val="384D5299"/>
    <w:rsid w:val="39085795"/>
    <w:rsid w:val="39DC5998"/>
    <w:rsid w:val="3BF04045"/>
    <w:rsid w:val="3EB10EAC"/>
    <w:rsid w:val="3EFD44E9"/>
    <w:rsid w:val="406753E0"/>
    <w:rsid w:val="416751BF"/>
    <w:rsid w:val="41AB4DF4"/>
    <w:rsid w:val="41CD706F"/>
    <w:rsid w:val="42AC3327"/>
    <w:rsid w:val="45200CEE"/>
    <w:rsid w:val="45FE5AB5"/>
    <w:rsid w:val="464B12BF"/>
    <w:rsid w:val="466A1EAC"/>
    <w:rsid w:val="46BE3330"/>
    <w:rsid w:val="472B4BA2"/>
    <w:rsid w:val="47CA68DE"/>
    <w:rsid w:val="489433FA"/>
    <w:rsid w:val="4A394A69"/>
    <w:rsid w:val="4AC61FB8"/>
    <w:rsid w:val="4B6F3491"/>
    <w:rsid w:val="4CA435F5"/>
    <w:rsid w:val="4DC44B28"/>
    <w:rsid w:val="4E182D0E"/>
    <w:rsid w:val="4E94080A"/>
    <w:rsid w:val="4F536E3D"/>
    <w:rsid w:val="513E4570"/>
    <w:rsid w:val="51924960"/>
    <w:rsid w:val="52D30037"/>
    <w:rsid w:val="534645A3"/>
    <w:rsid w:val="53735E08"/>
    <w:rsid w:val="53EA65F0"/>
    <w:rsid w:val="557669A4"/>
    <w:rsid w:val="57BB0DFB"/>
    <w:rsid w:val="580B6529"/>
    <w:rsid w:val="58C94755"/>
    <w:rsid w:val="597078DA"/>
    <w:rsid w:val="5B877A08"/>
    <w:rsid w:val="5E3E0B95"/>
    <w:rsid w:val="65942AAC"/>
    <w:rsid w:val="65ED6355"/>
    <w:rsid w:val="661405AA"/>
    <w:rsid w:val="665825B6"/>
    <w:rsid w:val="665D4BAA"/>
    <w:rsid w:val="68996B5C"/>
    <w:rsid w:val="6B613836"/>
    <w:rsid w:val="6CC96136"/>
    <w:rsid w:val="6D172A07"/>
    <w:rsid w:val="6E5D6AC8"/>
    <w:rsid w:val="702E24DD"/>
    <w:rsid w:val="710249B1"/>
    <w:rsid w:val="71B61FB7"/>
    <w:rsid w:val="721667DE"/>
    <w:rsid w:val="729727D2"/>
    <w:rsid w:val="73A06A51"/>
    <w:rsid w:val="74293154"/>
    <w:rsid w:val="74F7625E"/>
    <w:rsid w:val="75824340"/>
    <w:rsid w:val="76094A32"/>
    <w:rsid w:val="77CE2059"/>
    <w:rsid w:val="789015F4"/>
    <w:rsid w:val="7BA17879"/>
    <w:rsid w:val="7BFA211E"/>
    <w:rsid w:val="7DB644FB"/>
    <w:rsid w:val="7DB83F66"/>
    <w:rsid w:val="7FBC365F"/>
    <w:rsid w:val="7FDE1BD7"/>
    <w:rsid w:val="D5D607C7"/>
    <w:rsid w:val="F56F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rFonts w:eastAsia="宋体"/>
      <w:sz w:val="21"/>
    </w:rPr>
  </w:style>
  <w:style w:type="paragraph" w:styleId="3">
    <w:name w:val="Document Map"/>
    <w:basedOn w:val="1"/>
    <w:link w:val="19"/>
    <w:uiPriority w:val="0"/>
    <w:rPr>
      <w:rFonts w:ascii="宋体" w:eastAsia="宋体"/>
      <w:sz w:val="18"/>
      <w:szCs w:val="18"/>
    </w:rPr>
  </w:style>
  <w:style w:type="paragraph" w:styleId="4">
    <w:name w:val="annotation text"/>
    <w:basedOn w:val="1"/>
    <w:link w:val="21"/>
    <w:uiPriority w:val="0"/>
    <w:pPr>
      <w:jc w:val="left"/>
    </w:pPr>
  </w:style>
  <w:style w:type="paragraph" w:styleId="5">
    <w:name w:val="Balloon Text"/>
    <w:basedOn w:val="1"/>
    <w:link w:val="20"/>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8">
    <w:name w:val="footnote text"/>
    <w:basedOn w:val="1"/>
    <w:qFormat/>
    <w:uiPriority w:val="0"/>
    <w:pPr>
      <w:snapToGrid w:val="0"/>
      <w:jc w:val="left"/>
    </w:pPr>
    <w:rPr>
      <w:rFonts w:ascii="Calibri" w:hAnsi="Calibri" w:eastAsia="宋体"/>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22"/>
    <w:uiPriority w:val="0"/>
    <w:rPr>
      <w:b/>
      <w:bCs/>
    </w:rPr>
  </w:style>
  <w:style w:type="table" w:styleId="12">
    <w:name w:val="Table Grid"/>
    <w:basedOn w:val="11"/>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qFormat/>
    <w:uiPriority w:val="0"/>
  </w:style>
  <w:style w:type="character" w:styleId="16">
    <w:name w:val="Emphasis"/>
    <w:qFormat/>
    <w:uiPriority w:val="20"/>
    <w:rPr>
      <w:i/>
      <w:iCs/>
    </w:rPr>
  </w:style>
  <w:style w:type="character" w:styleId="17">
    <w:name w:val="Hyperlink"/>
    <w:basedOn w:val="13"/>
    <w:unhideWhenUsed/>
    <w:qFormat/>
    <w:uiPriority w:val="99"/>
    <w:rPr>
      <w:color w:val="0000FF"/>
      <w:u w:val="single"/>
    </w:rPr>
  </w:style>
  <w:style w:type="character" w:styleId="18">
    <w:name w:val="annotation reference"/>
    <w:qFormat/>
    <w:uiPriority w:val="0"/>
    <w:rPr>
      <w:sz w:val="21"/>
      <w:szCs w:val="21"/>
    </w:rPr>
  </w:style>
  <w:style w:type="character" w:customStyle="1" w:styleId="19">
    <w:name w:val="文档结构图 Char"/>
    <w:link w:val="3"/>
    <w:uiPriority w:val="0"/>
    <w:rPr>
      <w:rFonts w:ascii="宋体"/>
      <w:kern w:val="2"/>
      <w:sz w:val="18"/>
      <w:szCs w:val="18"/>
    </w:rPr>
  </w:style>
  <w:style w:type="character" w:customStyle="1" w:styleId="20">
    <w:name w:val="批注框文本 Char"/>
    <w:basedOn w:val="13"/>
    <w:link w:val="5"/>
    <w:semiHidden/>
    <w:locked/>
    <w:uiPriority w:val="0"/>
    <w:rPr>
      <w:rFonts w:eastAsia="仿宋_GB2312"/>
      <w:kern w:val="2"/>
      <w:sz w:val="18"/>
      <w:szCs w:val="18"/>
      <w:lang w:val="en-US" w:eastAsia="zh-CN" w:bidi="ar-SA"/>
    </w:rPr>
  </w:style>
  <w:style w:type="character" w:customStyle="1" w:styleId="21">
    <w:name w:val="批注文字 Char"/>
    <w:link w:val="4"/>
    <w:uiPriority w:val="0"/>
    <w:rPr>
      <w:rFonts w:eastAsia="仿宋_GB2312"/>
      <w:kern w:val="2"/>
      <w:sz w:val="32"/>
      <w:szCs w:val="24"/>
    </w:rPr>
  </w:style>
  <w:style w:type="character" w:customStyle="1" w:styleId="22">
    <w:name w:val="批注主题 Char"/>
    <w:link w:val="10"/>
    <w:qFormat/>
    <w:uiPriority w:val="0"/>
    <w:rPr>
      <w:rFonts w:eastAsia="仿宋_GB2312"/>
      <w:b/>
      <w:bCs/>
      <w:kern w:val="2"/>
      <w:sz w:val="32"/>
      <w:szCs w:val="24"/>
    </w:rPr>
  </w:style>
  <w:style w:type="character" w:customStyle="1" w:styleId="23">
    <w:name w:val="页眉 Char"/>
    <w:link w:val="7"/>
    <w:uiPriority w:val="0"/>
    <w:rPr>
      <w:kern w:val="2"/>
      <w:sz w:val="18"/>
      <w:szCs w:val="18"/>
    </w:rPr>
  </w:style>
  <w:style w:type="paragraph" w:customStyle="1" w:styleId="24">
    <w:name w:val="列出段落1"/>
    <w:basedOn w:val="1"/>
    <w:qFormat/>
    <w:uiPriority w:val="0"/>
    <w:pPr>
      <w:ind w:firstLine="420" w:firstLineChars="200"/>
    </w:pPr>
    <w:rPr>
      <w:rFonts w:ascii="Calibri" w:hAnsi="Calibri" w:eastAsia="宋体" w:cs="Calibri"/>
      <w:sz w:val="21"/>
      <w:szCs w:val="21"/>
    </w:rPr>
  </w:style>
  <w:style w:type="paragraph" w:customStyle="1" w:styleId="25">
    <w:name w:val="列出段落2"/>
    <w:basedOn w:val="1"/>
    <w:qFormat/>
    <w:uiPriority w:val="0"/>
    <w:pPr>
      <w:ind w:firstLine="420" w:firstLineChars="200"/>
    </w:pPr>
    <w:rPr>
      <w:rFonts w:ascii="Calibri" w:hAnsi="Calibri" w:eastAsia="宋体" w:cs="Calibri"/>
      <w:sz w:val="21"/>
      <w:szCs w:val="21"/>
    </w:rPr>
  </w:style>
  <w:style w:type="paragraph" w:customStyle="1" w:styleId="26">
    <w:name w:val="Char1"/>
    <w:basedOn w:val="1"/>
    <w:uiPriority w:val="0"/>
    <w:pPr>
      <w:spacing w:line="360" w:lineRule="auto"/>
      <w:ind w:firstLine="200" w:firstLineChars="200"/>
    </w:pPr>
    <w:rPr>
      <w:rFonts w:ascii="宋体" w:hAnsi="宋体" w:eastAsia="宋体" w:cs="宋体"/>
      <w:sz w:val="24"/>
    </w:rPr>
  </w:style>
  <w:style w:type="paragraph" w:styleId="27">
    <w:name w:val="List Paragraph"/>
    <w:basedOn w:val="1"/>
    <w:qFormat/>
    <w:uiPriority w:val="34"/>
    <w:pPr>
      <w:ind w:firstLine="420" w:firstLineChars="200"/>
    </w:pPr>
    <w:rPr>
      <w:rFonts w:ascii="Calibri" w:hAnsi="Calibri" w:eastAsia="宋体"/>
      <w:sz w:val="21"/>
      <w:szCs w:val="22"/>
    </w:rPr>
  </w:style>
  <w:style w:type="paragraph" w:customStyle="1" w:styleId="28">
    <w:name w:val="Revision"/>
    <w:unhideWhenUsed/>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3434</Words>
  <Characters>228</Characters>
  <Lines>1</Lines>
  <Paragraphs>7</Paragraphs>
  <TotalTime>1</TotalTime>
  <ScaleCrop>false</ScaleCrop>
  <LinksUpToDate>false</LinksUpToDate>
  <CharactersWithSpaces>3655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2021-09-10T04:10:00Z</dcterms:created>
  <dc:creator>aaaa1</dc:creator>
  <cp:lastModifiedBy>Administrator</cp:lastModifiedBy>
  <cp:lastPrinted>2021-07-13T07:28:00Z</cp:lastPrinted>
  <dcterms:modified xsi:type="dcterms:W3CDTF">2021-09-10T05:56:04Z</dcterms:modified>
  <dc:title>宁波市危旧房改造专项资金管理办法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F07B023DDA214313AF03BFF608E8FA8D</vt:lpwstr>
  </property>
</Properties>
</file>