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hint="eastAsia" w:ascii="黑体" w:hAnsi="黑体" w:eastAsia="黑体" w:cs="黑体"/>
          <w:color w:val="428EDC"/>
          <w:kern w:val="0"/>
          <w:sz w:val="44"/>
          <w:szCs w:val="44"/>
          <w:bdr w:val="none" w:color="auto" w:sz="0" w:space="0"/>
          <w:lang w:val="en-US" w:eastAsia="zh-CN" w:bidi="ar"/>
        </w:rPr>
      </w:pPr>
      <w:bookmarkStart w:id="0" w:name="_GoBack"/>
      <w:r>
        <w:rPr>
          <w:rFonts w:hint="eastAsia" w:ascii="黑体" w:hAnsi="黑体" w:eastAsia="黑体" w:cs="黑体"/>
          <w:color w:val="428EDC"/>
          <w:kern w:val="0"/>
          <w:sz w:val="44"/>
          <w:szCs w:val="44"/>
          <w:bdr w:val="none" w:color="auto" w:sz="0" w:space="0"/>
          <w:lang w:val="en-US" w:eastAsia="zh-CN" w:bidi="ar"/>
        </w:rPr>
        <w:t>科技部关于发布科技创新 2030 —“脑科学与类脑研究”重大项目 2021年度项目申报指南的通知</w:t>
      </w:r>
    </w:p>
    <w:bookmarkEnd w:id="0"/>
    <w:p>
      <w:pPr>
        <w:pStyle w:val="2"/>
        <w:keepNext w:val="0"/>
        <w:keepLines w:val="0"/>
        <w:widowControl/>
        <w:suppressLineNumbers w:val="0"/>
        <w:snapToGrid w:val="0"/>
        <w:spacing w:before="150" w:beforeAutospacing="0" w:after="150" w:afterAutospacing="0" w:line="450" w:lineRule="atLeast"/>
        <w:ind w:left="0" w:right="0"/>
        <w:jc w:val="center"/>
        <w:rPr>
          <w:rFonts w:hint="eastAsia" w:ascii="仿宋_GB2312" w:hAnsi="仿宋_GB2312" w:eastAsia="仿宋_GB2312" w:cs="仿宋_GB2312"/>
          <w:snapToGrid w:val="0"/>
          <w:color w:val="444444"/>
          <w:sz w:val="28"/>
          <w:szCs w:val="28"/>
          <w:bdr w:val="none" w:color="auto" w:sz="0" w:space="0"/>
        </w:rPr>
      </w:pPr>
      <w:r>
        <w:rPr>
          <w:rFonts w:hint="eastAsia" w:ascii="仿宋_GB2312" w:hAnsi="仿宋_GB2312" w:eastAsia="仿宋_GB2312" w:cs="仿宋_GB2312"/>
          <w:snapToGrid w:val="0"/>
          <w:color w:val="444444"/>
          <w:sz w:val="28"/>
          <w:szCs w:val="28"/>
          <w:bdr w:val="none" w:color="auto" w:sz="0" w:space="0"/>
        </w:rPr>
        <w:t>国科发资〔2021〕265号</w:t>
      </w:r>
    </w:p>
    <w:p>
      <w:pPr>
        <w:pStyle w:val="2"/>
        <w:keepNext w:val="0"/>
        <w:keepLines w:val="0"/>
        <w:widowControl/>
        <w:suppressLineNumbers w:val="0"/>
        <w:snapToGrid w:val="0"/>
        <w:spacing w:before="150" w:beforeAutospacing="0" w:after="150" w:afterAutospacing="0" w:line="450" w:lineRule="atLeast"/>
        <w:ind w:left="0" w:right="0"/>
        <w:jc w:val="left"/>
        <w:rPr>
          <w:rFonts w:hint="eastAsia" w:ascii="仿宋_GB2312" w:hAnsi="仿宋_GB2312" w:eastAsia="仿宋_GB2312" w:cs="仿宋_GB2312"/>
          <w:sz w:val="28"/>
          <w:szCs w:val="28"/>
        </w:rPr>
      </w:pPr>
      <w:r>
        <w:rPr>
          <w:rFonts w:hint="eastAsia" w:ascii="仿宋_GB2312" w:hAnsi="仿宋_GB2312" w:eastAsia="仿宋_GB2312" w:cs="仿宋_GB2312"/>
          <w:snapToGrid w:val="0"/>
          <w:color w:val="444444"/>
          <w:sz w:val="28"/>
          <w:szCs w:val="28"/>
          <w:bdr w:val="none" w:color="auto" w:sz="0" w:space="0"/>
        </w:rPr>
        <w:t>各省、自治区、直辖市及计划单列市科技厅（委、局），新疆生产建设兵团科技局，国务院各有关部门，各有关单位：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根据《脑科学与类脑研究重大项目实施方案》，按照《关于深化中央财政科技计划（专项、基金等）管理改革的方案》（国发〔2014〕64号）的相关要求，现将科技创新2030—“脑科学与类脑研究”重大项目2021年度项目申报指南予以发布。请根据指南要求组织项目申报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一、项目组织申报工作流程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1. 申报单位根据指南支持方向的研究内容以项目形式组织申报，项目可下设课题。项目应整体申报，须覆盖相应指南方向的全部考核指标。有特殊规定的，从其规定。项目申报单位推荐1名科研人员作为项目负责人，每个课题设1名负责人，项目负责人可担任其中1个课题的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2. 项目的组织实施应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3. 重大项目申报评审具体工作流程如下：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项目申报单位根据指南相关申报要求，通过国家科技管理信息系统公共服务平台（http：//service.most.gov.cn，以下简称“国科管系统”）填写并提交项目申报书。从指南发布日到项目申报书受理截止日不少于50天。</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项目牵头申报单位与所有参与单位签署联合申报协议，并明确协议签署时间；项目牵头申报单位、课题申报单位、项目负责人及课题负责人须签署诚信承诺书，项目牵头申报单位及所有参与单位要落实《关于进一步加强科研诚信建设的若干意见》要求，加强对申报材料审核把关，杜绝夸大不实，甚至弄虚作假。</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——各推荐单位加强对所推荐的项目申报材料审核把关，按时将推荐项目通过国科管系统统一报送。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——中国生物技术发展中心受理申报。为确保合理的竞争度，对于非定向申报的单个指南方向，若申报团队不多于拟支持的项目数量，该指南方向不启动后续项目立项评审程序，择期重新研究。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中国生物技术发展中心组织形式审查，并根据申报情况开展首轮评审工作。首轮评审不需要项目负责人进行答辩。根据专家的评审结果遴选出进入答辩评审的申报项目。对于未进入答辩评审的申报项目，及时将评审结果反馈项目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中国生物技术发展中心组织答辩评审。答辩评审可采用视频答辩方式评审。根据专家评议情况择优立项。对于原则上只支持1项的指南方向，如答辩评审结果前两位的申报项目评价相近，且技术路线明显不同，可同时立项支持，并建立动态调整机制，结合过程管理开展关键节点考核评估，根据评估结果确定后续支持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二、组织申报的推荐单位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1. 国务院有关部门科技主管司局；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2. 各省、自治区、直辖市、计划单列市及新疆生产建设兵团科技主管部门；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3. 原工业部门转制成立的行业协会；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5. 港澳科研单位牵头申报的项目，分别由香港创新科技署、澳门科学技术发展基金按要求组织推荐。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各推荐单位应在本单位职能和业务范围内组织推荐，并对所推荐项目的真实性等负责。推荐单位名单在国科管系统上公开发布。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三、申报资格要求</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1. 项目牵头申报单位和参与单位应为中国大陆境内注册的科研院所、高等学校和企业等（以下简称内地单位），或由内地与香港、内地与澳门科技合作委员会协商确定的港澳科研单位（名单见附件2）。内地单位应具有独立法人资格，注册时间为2020年12月31日前，有较强的科技研发能力和条件，运行管理规范。国家机关不得牵头或参与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项目牵头申报单位、项目参与单位以及项目团队成员诚信状况良好，无在惩戒执行期内的科研严重失信行为记录和相关社会领域信用“黑名单”记录。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申报单位同一个项目只能通过单个推荐单位申报，不得多头申报和重复申报。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2. 项目（课题）负责人须具有高级职称或博士学位，1961年1月1日以后出生，每年用于项目的工作时间不得少于6个月。港澳申报人员应爱国爱港、爱国爱澳。</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3. 鼓励青年科技工作者积极牵头申报青年科学家项目及其他项目（课题），青年科学家项目不下设课题，原则上不再组织预算评估，鼓励青年科学家大胆探索更具创新性和颠覆性的新方法、新路径，更好服务于重大项目总体目标实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4. 项目（课题）负责人原则上应为该项目（课题）主体研究思路的提出者和实际主持研究的科技人员。中央和地方各级国家机关及港澳特别行政区的公务人员（包括行使科技计划管理职能的其他人员）不得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5.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科技重大专项、国家重点研发计划、科技创新2030—重大项目。</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项目任务书执行期（包括延期后的执行期）到2021年12月31日之前的在研项目（含任务或课题）不在限项范围内。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6. 参与本年度项目指南编制的专家，不得申报该科技创新2030—重大项目的项目（课题）。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7. 受聘于内地单位的外籍科学家及港、澳、台地区科学家可作为重大项目的项目（课题）负责人，全职受聘人员须由内地聘用单位提供全职聘用的有效材料，非全职受聘人员须由双方单位同时提供聘用的有效材料，并作为项目申报材料一并提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8. 申报项目受理后，原则上不得更改申报单位和负责人。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9. 项目具体申报要求详见申报指南，有特殊规定的，从其规定。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四、具体申报方式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1. 网上填报。请各申报单位按要求通过国科管系统进行网上填报。中国生物技术发展中心将以网上填报的申报书作为后续形式审查、项目论证的依据。申报材料中所需的附件材料，全部以电子扫描件上传。确因疫情影响暂时无法提供的，请上传依托单位出具的说明材料扫描件，中国生物技术发展中心可根据情况通知补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项目申报单位网上填报申报书的受理时间为：2021年10月9日8：00至2021年11月8日16：00。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2. 组织推荐。请各推荐单位于2021年11月12日16：00前通过国科管系统逐项确认推荐项目，并将加盖推荐单位公章的推荐函以电子扫描件上传。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3. 技术咨询电话及邮箱：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010-58882999（中继线）；program@istic.ac.cn。</w:t>
      </w:r>
    </w:p>
    <w:p>
      <w:pPr>
        <w:keepNext w:val="0"/>
        <w:keepLines w:val="0"/>
        <w:widowControl/>
        <w:suppressLineNumbers w:val="0"/>
        <w:pBdr>
          <w:top w:val="none" w:color="auto" w:sz="0" w:space="0"/>
          <w:left w:val="none" w:color="auto" w:sz="0" w:space="0"/>
          <w:bottom w:val="none" w:color="auto" w:sz="0" w:space="0"/>
          <w:right w:val="none" w:color="auto" w:sz="0" w:space="0"/>
        </w:pBdr>
        <w:wordWrap w:val="0"/>
        <w:snapToGrid w:val="0"/>
        <w:spacing w:before="150" w:beforeAutospacing="0" w:after="150" w:afterAutospacing="0" w:line="450" w:lineRule="atLeast"/>
        <w:ind w:left="0" w:right="0" w:firstLine="420"/>
        <w:jc w:val="both"/>
        <w:rPr>
          <w:rFonts w:hint="eastAsia" w:ascii="仿宋_GB2312" w:hAnsi="仿宋_GB2312" w:eastAsia="仿宋_GB2312" w:cs="仿宋_GB2312"/>
          <w:color w:val="444444"/>
          <w:sz w:val="28"/>
          <w:szCs w:val="28"/>
        </w:rPr>
      </w:pPr>
      <w:r>
        <w:rPr>
          <w:rFonts w:hint="eastAsia" w:ascii="仿宋_GB2312" w:hAnsi="仿宋_GB2312" w:eastAsia="仿宋_GB2312" w:cs="仿宋_GB2312"/>
          <w:snapToGrid w:val="0"/>
          <w:color w:val="444444"/>
          <w:kern w:val="0"/>
          <w:sz w:val="28"/>
          <w:szCs w:val="28"/>
          <w:bdr w:val="none" w:color="auto" w:sz="0" w:space="0"/>
          <w:lang w:val="en-US" w:eastAsia="zh-CN" w:bidi="ar"/>
        </w:rPr>
        <w:t>4. 业务咨询电话：010-88225164，010-88225177。</w:t>
      </w:r>
    </w:p>
    <w:p>
      <w:pPr>
        <w:keepNext w:val="0"/>
        <w:keepLines w:val="0"/>
        <w:widowControl/>
        <w:suppressLineNumbers w:val="0"/>
        <w:wordWrap w:val="0"/>
        <w:snapToGrid w:val="0"/>
        <w:spacing w:before="150" w:beforeAutospacing="0" w:after="150" w:afterAutospacing="0" w:line="450" w:lineRule="atLeast"/>
        <w:ind w:left="0" w:right="0"/>
        <w:jc w:val="both"/>
        <w:rPr>
          <w:rFonts w:hint="eastAsia" w:ascii="仿宋_GB2312" w:hAnsi="仿宋_GB2312" w:eastAsia="仿宋_GB2312" w:cs="仿宋_GB2312"/>
          <w:sz w:val="28"/>
          <w:szCs w:val="28"/>
        </w:rPr>
      </w:pPr>
      <w:r>
        <w:rPr>
          <w:rFonts w:hint="eastAsia" w:ascii="仿宋_GB2312" w:hAnsi="仿宋_GB2312" w:eastAsia="仿宋_GB2312" w:cs="仿宋_GB2312"/>
          <w:color w:val="444444"/>
          <w:sz w:val="28"/>
          <w:szCs w:val="28"/>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snapToGrid w:val="0"/>
        <w:spacing w:before="150" w:beforeAutospacing="0" w:after="150" w:afterAutospacing="0" w:line="450" w:lineRule="atLeast"/>
        <w:ind w:left="0" w:right="0"/>
        <w:jc w:val="right"/>
        <w:rPr>
          <w:rFonts w:hint="eastAsia" w:ascii="仿宋_GB2312" w:hAnsi="仿宋_GB2312" w:eastAsia="仿宋_GB2312" w:cs="仿宋_GB2312"/>
          <w:sz w:val="28"/>
          <w:szCs w:val="28"/>
        </w:rPr>
      </w:pPr>
      <w:r>
        <w:rPr>
          <w:rFonts w:hint="eastAsia" w:ascii="仿宋_GB2312" w:hAnsi="仿宋_GB2312" w:eastAsia="仿宋_GB2312" w:cs="仿宋_GB2312"/>
          <w:snapToGrid w:val="0"/>
          <w:color w:val="444444"/>
          <w:sz w:val="28"/>
          <w:szCs w:val="28"/>
          <w:bdr w:val="none" w:color="auto" w:sz="0" w:space="0"/>
        </w:rPr>
        <w:t>科技部</w:t>
      </w:r>
    </w:p>
    <w:p>
      <w:pPr>
        <w:pStyle w:val="2"/>
        <w:keepNext w:val="0"/>
        <w:keepLines w:val="0"/>
        <w:widowControl/>
        <w:suppressLineNumbers w:val="0"/>
        <w:snapToGrid w:val="0"/>
        <w:spacing w:before="150" w:beforeAutospacing="0" w:after="150" w:afterAutospacing="0" w:line="450" w:lineRule="atLeast"/>
        <w:ind w:left="0" w:right="0"/>
        <w:jc w:val="right"/>
        <w:rPr>
          <w:rFonts w:hint="eastAsia" w:ascii="仿宋_GB2312" w:hAnsi="仿宋_GB2312" w:eastAsia="仿宋_GB2312" w:cs="仿宋_GB2312"/>
          <w:sz w:val="28"/>
          <w:szCs w:val="28"/>
        </w:rPr>
      </w:pPr>
      <w:r>
        <w:rPr>
          <w:rFonts w:hint="eastAsia" w:ascii="仿宋_GB2312" w:hAnsi="仿宋_GB2312" w:eastAsia="仿宋_GB2312" w:cs="仿宋_GB2312"/>
          <w:snapToGrid w:val="0"/>
          <w:color w:val="444444"/>
          <w:sz w:val="28"/>
          <w:szCs w:val="28"/>
          <w:bdr w:val="none" w:color="auto" w:sz="0" w:space="0"/>
        </w:rPr>
        <w:t>2021年9月13日</w:t>
      </w:r>
    </w:p>
    <w:p>
      <w:pPr>
        <w:pStyle w:val="2"/>
        <w:keepNext w:val="0"/>
        <w:keepLines w:val="0"/>
        <w:widowControl/>
        <w:suppressLineNumbers w:val="0"/>
        <w:snapToGrid w:val="0"/>
        <w:spacing w:before="150" w:beforeAutospacing="0" w:after="150" w:afterAutospacing="0" w:line="450" w:lineRule="atLeast"/>
        <w:ind w:left="0" w:right="0"/>
        <w:jc w:val="both"/>
        <w:rPr>
          <w:rFonts w:hint="eastAsia" w:ascii="宋体" w:hAnsi="宋体" w:eastAsia="宋体" w:cs="宋体"/>
          <w:snapToGrid w:val="0"/>
          <w:color w:val="444444"/>
          <w:sz w:val="26"/>
          <w:szCs w:val="26"/>
          <w:bdr w:val="none" w:color="auto" w:sz="0" w:space="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hint="eastAsia" w:ascii="黑体" w:hAnsi="黑体" w:eastAsia="黑体" w:cs="黑体"/>
          <w:color w:val="428EDC"/>
          <w:kern w:val="0"/>
          <w:sz w:val="44"/>
          <w:szCs w:val="44"/>
          <w:bdr w:val="none" w:color="auto" w:sz="0" w:space="0"/>
          <w:lang w:val="en-US" w:eastAsia="zh-CN" w:bidi="ar"/>
        </w:rPr>
      </w:pPr>
    </w:p>
    <w:p>
      <w:pPr>
        <w:rPr>
          <w:rFonts w:hint="eastAsia" w:ascii="黑体" w:hAnsi="黑体" w:eastAsia="黑体" w:cs="黑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ndalus">
    <w:panose1 w:val="02020603050405020304"/>
    <w:charset w:val="00"/>
    <w:family w:val="auto"/>
    <w:pitch w:val="default"/>
    <w:sig w:usb0="00002003" w:usb1="80000000" w:usb2="00000008" w:usb3="00000000" w:csb0="00000041" w:csb1="2008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22420"/>
    <w:rsid w:val="71722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2021-10-12T02:21:00Z</dcterms:created>
  <dc:creator>焦州</dc:creator>
  <cp:lastModifiedBy>焦州</cp:lastModifiedBy>
  <dcterms:modified xsi:type="dcterms:W3CDTF">2021-10-12T02:47:40Z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E40D0B5FD6934C7BB563CABA57FD3BA6</vt:lpwstr>
  </property>
</Properties>
</file>