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  <w:t>附件2</w:t>
      </w:r>
    </w:p>
    <w:p>
      <w:pPr>
        <w:widowControl/>
        <w:spacing w:after="120" w:afterLines="50" w:line="580" w:lineRule="exact"/>
        <w:jc w:val="center"/>
        <w:rPr>
          <w:rFonts w:hint="eastAsia" w:ascii="创艺简标宋" w:hAnsi="黑体" w:eastAsia="创艺简标宋" w:cs="宋体"/>
          <w:color w:val="000000"/>
          <w:kern w:val="0"/>
          <w:sz w:val="40"/>
          <w:szCs w:val="40"/>
        </w:rPr>
      </w:pPr>
      <w:r>
        <w:rPr>
          <w:rFonts w:hint="eastAsia" w:ascii="创艺简标宋" w:hAnsi="黑体" w:eastAsia="创艺简标宋" w:cs="宋体"/>
          <w:color w:val="000000"/>
          <w:kern w:val="0"/>
          <w:sz w:val="40"/>
          <w:szCs w:val="40"/>
        </w:rPr>
        <w:t>宁波市星级绿色工厂评价导则（2022版）</w:t>
      </w:r>
    </w:p>
    <w:tbl>
      <w:tblPr>
        <w:tblStyle w:val="5"/>
        <w:tblW w:w="136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83"/>
        <w:gridCol w:w="5343"/>
        <w:gridCol w:w="1267"/>
        <w:gridCol w:w="4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5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具体要求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标准分值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评价细则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基本条件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合规性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工厂应依法设立，在建设和生产过程中应遵守有关法律、法规、政策和标准；近三年无重大安全、环保、质量等事故，成立不足三年的企业，成立以来无重大安全、环保、质量等事故。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一票否决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一票否决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管理职责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工厂设有绿色工厂管理机构或有专人负责有关绿色发展的制度建设、实施等工作。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一票否决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一票否决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亩均效益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工厂上年度“亩均效益综合评价”在B档及以上。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一票否决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一票否决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基础设施（21）</w:t>
            </w:r>
          </w:p>
        </w:tc>
        <w:tc>
          <w:tcPr>
            <w:tcW w:w="1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建筑设施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新建、改建和扩建的建筑应遵守国家“固定资产投资项目节能评估审查制度”、“环境影响评价制度”、“三同时制度”、“工业项目建设用地控制指标”等产业政策和有关要求，符合国家或地方相关法律法规及相对应的工厂设计规范标准的要求，在满足生产功能要求下，并应满足采光、通风、保温、防水、隔热、防腐蚀等要求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提供相关佐证材料。全部符合要求的得满分，部分不符合的酌情得分。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危险品仓库、有毒有害操作间、废弃物处理（暂存）间等产生污染物的房间应独立设置。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提供现场照片（彩打）并且标识符合要求。根据企业类别应设需设，得3分。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设备设施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工厂专用生产设备需符合产业准入要求，降低能源与资源消耗，减少污染物排放。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明确专用生产设备清单，并分析其产业准入符合性或者在节能和污染物排放方面的先进性，提供主要照片和铭牌信息。符合要求得2分。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已明令禁止生产、能耗高、效率低的工厂生产设备应限期淘汰更新。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（若有）明确限期淘汰更新设备清单，并在淘汰时间上做出承诺。符合限期淘汰更新要求的，得3分。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（适用时）对变压器、风机、水泵等通用设备应达到相关标准中能效限定值的强制性要求。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对变压器、风机、水泵等通用设备进行对标分析并明确能效等级，提供主要照片和铭牌信息。符合要求的，得2分。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基础设施（21）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设备设施</w:t>
            </w:r>
          </w:p>
        </w:tc>
        <w:tc>
          <w:tcPr>
            <w:tcW w:w="5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工厂应投入适宜的污染物处理设备，以确保其污染物排放达到相关法律法规及标准要求，污染物处理设备的处理能力应与工厂生产排放相适应，并应正常运行。</w:t>
            </w: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明确环境污染治理设备清单及处理能力，提供污染物处理设施照片，工艺要求与“三同时”验收相一致。满足生产能力要求并正常运行，得2分。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计量设施</w:t>
            </w:r>
          </w:p>
        </w:tc>
        <w:tc>
          <w:tcPr>
            <w:tcW w:w="5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工厂应依据GB 17167、GB 24789等要求配备、使用和管理能源、水以及其他资源的计量器具和装置。工厂能源资源达到二级计量，环保设施、照明、冷水机组、锅炉、冷却塔、空气处理设备等设备单独设置计量。</w:t>
            </w: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工厂能源资源达到一级计量得1分；二级计量得2分；达到二级计量且满足分类计量要求得4分。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照明</w:t>
            </w:r>
          </w:p>
        </w:tc>
        <w:tc>
          <w:tcPr>
            <w:tcW w:w="5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w w:val="90"/>
                <w:kern w:val="0"/>
                <w:szCs w:val="21"/>
              </w:rPr>
              <w:t>工厂厂区及各房间或场所的照明功率密度应符合GB 50034规定现行值，使用节能灯等节能型照明设备。</w:t>
            </w: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符合规范要求得1分；符合规范要求，且使用节能照明设备使用率80%以上得2分（特殊场合不能达标使用的需说明理由）。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管理体系（12）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质量管理体系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工厂应建立满足GB/T 19001要求的质量管理制度，并实施和保持。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建立制度得1分；建立体系得2分；通过质量管理体系认证或行业质量管理体系认证得3分。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环境管理体系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工厂应建立满足GB/T 24001要求的环境管理制度，并实施和保持。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建立制度得1分；建立体系得2分；通过第三方认证得3分。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职业健康安全管理体系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 xml:space="preserve">工厂应建立满足GB/T 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45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001要求的职业健康安全管理制度，并实施和保持。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建立制度得1分；建立体系得2分；通过第三方认证得3分。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能源管理体系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工厂应建立满足GB/T 23331要求的能源管理制度，并实施和保持。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建立制度得1分；建立体系得2分；通过第三方认证得3分。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能源与资源投入（11）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能源投入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工厂应根据行业现实情况优化用能结构，在保证安全、质量的前提下减少不可再生能源投入，应采用能源梯级利用、能源回收利用，逐步提高非化石能源所占比例，充分利用余热余压等。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优化用能结构并减少能源投入，有能源梯级利用、能源回收利用、余热余压利用等节能措施的得1分；近三年内有实施投资额在50万元以上节能降碳项目的（1000吨标煤以下的企业可以放宽到20万元），得3分。采用新能源系统，有实施光伏、风力发电等项目或建立智慧能源管理系统的，得3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资源投入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工厂应按照GB/T7119的要求对其开展节水评价工作。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满足规范要求得2分。近五年内通过节水型企业评定或有实施投资额在10万元以上节水改造项目以上的得3分。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能源与资源投入（11）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采购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工厂应制定并实施包括环保要求的选择、评价和重新评价供方的准则，确保供方能够提供符合工厂环保要求的材料、元器件、部件或组件。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提供程序文件中有明确环保要求的相关材料。符合要求得2分。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产品（11）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生态设计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工厂在产品设计中引入生态设计的理念。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对产品结构、性能、工艺等明确具有生态化设计（提供详细材料）得3分；入选工信部绿色设计产品或入选绿色设计示范企业得4分。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有害物质使用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工厂生产的产品（包括原料和辅料）应控制、减少有害物质的使用量，并满足国家对产品中有害物质限制使用的要求。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提供产品或原辅料有害物质限量检测报告，产品（包括原料和辅料）满足有害物质限制使用要求得3分；且有减少或替代有害物质使用措施的得4分。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节能</w:t>
            </w:r>
          </w:p>
        </w:tc>
        <w:tc>
          <w:tcPr>
            <w:tcW w:w="5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工厂生产的产品若为用能产品，应满足相关产品的国家、行业或地方发布的产品能效标准中的限定值要求，未制定产品能效标准的，产品能效应不低于行业平均值。</w:t>
            </w: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产品为用能产品，能效满足产品标准限定值或不低于行业平均值（行业平均值可由权威的第三方提供）得2分，达到先进值得3分。不适用时给满分。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环境污染排放（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20）</w:t>
            </w:r>
          </w:p>
        </w:tc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大气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污染物</w:t>
            </w:r>
          </w:p>
        </w:tc>
        <w:tc>
          <w:tcPr>
            <w:tcW w:w="5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工厂应根据大气污染物性质，做好大气污染物的分类收集和治理，大气污染物排放浓度及排放总量应符合国家、地方污染物标准或规章要求和主要污染物排放总量控制规定。</w:t>
            </w: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提供最新的有效第三方检测报告（近两年内），有排放总量要求的需提供排污许可证、评价年度排放总量计算过程或排污许可证执行年报。排放符合要求的，得4分。检测结果或排放总量不符合要求，不得分。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水体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污染物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工厂应根据废水污染物特性，做好废水分类、收集和治理，废水污染物排放浓度及排放总量应符合国家、地方污染物排放标准要求和主要污染物排放总量控制规定。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提供最新的有效第三方检测报告（近两年内），有排放总量要求的需提供排污许可证、评价年度排放总量计算过程或排污许可证执行年报。排放符合要求，得4分。检测结果或排放总量不符合要求的，不得分。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固体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废弃物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工厂产生的固体废弃物的处理（暂存）应符合GB18599、GB18597等相关标准要求。工厂无法自行处理的，应将固体废弃物转交给具备相应能力和资质的专业公司进行处理。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提供有效委外处置合同和危废转移联单。符合要求的得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分；且危废类别和处置量符合企业实际的得5分。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噪声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工厂的厂界环境噪声排放应符合国家相关标准要求。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提供最新的有效第三方检测报告（近两年内）。符合要求得3分。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环境污染排放（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20）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温室气体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工厂应采用GB/T32150或适用的标准或规范对其厂界范围内的温室气体排放进行核算。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提供最新的有效温室气体排放报告或温室气体排放核查报告（近两年内）。提供企业温室气体排放报告的得3分；提供第三方核查报告的得4分。（备注：温室气体排放核算参照相应行业的温室气体核算方法与报告指南；热力与电力“排放因子”分别取0.095tCO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/GJ和0.64kgCO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/MWh，若宁波市有统一公布更新指标，从其规定。）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绩效（25）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用地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集约化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工厂容积率、建筑密度不低于《工业项目建设用地控制指标》要求。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容积率达到规定要求得2分；达到1.5倍及以上得3分；低于要求的不得分。建筑密度不低于30%得1分；达到40%得2分；低于要求的不得分。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资源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高效化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instrText xml:space="preserve"> HYPERLINK "http://www.baidu.com/link?url=VGe4dgYN9FaKCUlDrpEsb4MENcA4uZShRRIaMIwX0HuT528NGIYFuRhpkDMCNupKtIjslCiLRlfZR6RTxkw_ZhQYdjqR6-vWiQ3Er8aqaDi" \t "/home/huawei/Documentsx/_blank" </w:instrTex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产品取水量应满足《浙江省用(取)水定额(2019年)》中对应的取水定额要求。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产品取水量达到省通用值得4分；达到先进值得6分；未达到通用值的不得分（《浙江省用(取)水定额(2019年)》中无要求的，产值水耗或增加值水耗达到《宁波市工业产业能效》中行业平均水平的得4分；优于20%的得6分；未达到平均水平的不得分。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废物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资源化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工业固体废物处置率达到100%（含委外处理），有综合利用设施的其利用率应大于85%。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一般工业固废分类回收的得3分；工业固废100%处置或有综合利用设施且利用率大于85%的得6分。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能源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低碳化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工业产值能耗应达到市级行业平均水平。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hd w:val="clear" w:color="auto" w:fill="FFFFFF"/>
              <w:spacing w:line="260" w:lineRule="exact"/>
              <w:jc w:val="both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hAnsi="Times New Roman" w:eastAsia="仿宋_GB2312" w:cs="宋体"/>
                <w:color w:val="000000"/>
                <w:sz w:val="21"/>
                <w:szCs w:val="21"/>
              </w:rPr>
              <w:t>工业产值能耗达到宁波市小类行业平均水平的得6分，优于20%的得8分，未达到平均水平的不得分。企业实际生产涉及多个行业、多道工序，导致与行业平均水平缺少可比性时，可以按工序（产品）能耗或清洁生产标准涉及能耗指标等相关标准规范对标，工序能耗均达到先进值或优于限定值20%及以上的，最高得8分；工序能耗均优于限定值10%及以上的，最高得6分；工序能耗均达到限定值的，最高得4分；工序能耗达不到限定值的，不得分。（行业水平数据可根据《宁波工业产业能效》或者具有权威的第三方如行业协会提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合计得分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仿宋_GB2312" w:hAnsi="楷体" w:eastAsia="仿宋_GB2312"/>
          <w:kern w:val="0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widowControl/>
        <w:adjustRightInd w:val="0"/>
        <w:snapToGrid w:val="0"/>
        <w:spacing w:line="540" w:lineRule="exact"/>
        <w:jc w:val="left"/>
        <w:rPr>
          <w:rFonts w:hint="default" w:ascii="仿宋_GB2312" w:hAnsi="楷体" w:eastAsia="仿宋_GB2312"/>
          <w:kern w:val="0"/>
          <w:sz w:val="36"/>
          <w:szCs w:val="36"/>
          <w:lang w:val="en-US" w:eastAsia="zh-CN"/>
        </w:rPr>
      </w:pPr>
    </w:p>
    <w:sectPr>
      <w:footerReference r:id="rId5" w:type="first"/>
      <w:footerReference r:id="rId4" w:type="default"/>
      <w:pgSz w:w="11906" w:h="16838"/>
      <w:pgMar w:top="1440" w:right="1803" w:bottom="1440" w:left="1803" w:header="851" w:footer="845" w:gutter="0"/>
      <w:pgNumType w:fmt="decimal"/>
      <w:cols w:space="0" w:num="1"/>
      <w:titlePg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B5820"/>
    <w:rsid w:val="0F245124"/>
    <w:rsid w:val="10DB5820"/>
    <w:rsid w:val="5A3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7335</Words>
  <Characters>7632</Characters>
  <Lines>0</Lines>
  <Paragraphs>0</Paragraphs>
  <TotalTime>10</TotalTime>
  <ScaleCrop>false</ScaleCrop>
  <LinksUpToDate>false</LinksUpToDate>
  <CharactersWithSpaces>7936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2022-04-01T02:28:00Z</dcterms:created>
  <dc:creator>永哥</dc:creator>
  <cp:lastModifiedBy>小可</cp:lastModifiedBy>
  <dcterms:modified xsi:type="dcterms:W3CDTF">2022-04-02T02:20:31Z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85B467CD7106435DB949B7451E18BF72</vt:lpwstr>
  </property>
</Properties>
</file>