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附件2</w:t>
      </w:r>
    </w:p>
    <w:p>
      <w:pPr>
        <w:widowControl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 xml:space="preserve">       </w:t>
      </w:r>
    </w:p>
    <w:tbl>
      <w:tblPr>
        <w:tblStyle w:val="2"/>
        <w:tblpPr w:leftFromText="180" w:rightFromText="180" w:vertAnchor="text" w:horzAnchor="page" w:tblpX="942" w:tblpY="6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2"/>
              <w:tblpPr w:leftFromText="180" w:rightFromText="180" w:horzAnchor="margin" w:tblpXSpec="center" w:tblpY="720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2"/>
              <w:gridCol w:w="1148"/>
              <w:gridCol w:w="1240"/>
              <w:gridCol w:w="1280"/>
              <w:gridCol w:w="1300"/>
              <w:gridCol w:w="1260"/>
              <w:gridCol w:w="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360" w:type="dxa"/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企业名称（盖章）：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税收种类</w:t>
                  </w:r>
                </w:p>
              </w:tc>
              <w:tc>
                <w:tcPr>
                  <w:tcW w:w="6328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企业核实数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2552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2017年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2018年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2019年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2020年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增值税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当年免抵额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企业所得税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城建税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印花税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2552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880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" w:type="dxa"/>
                <w:trHeight w:val="270" w:hRule="atLeast"/>
              </w:trPr>
              <w:tc>
                <w:tcPr>
                  <w:tcW w:w="87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</w:rPr>
                    <w:t>说明：税收统计口径按企业各个年度1-12月正常入库数计算（不包括税务机关查补数）</w:t>
                  </w:r>
                </w:p>
              </w:tc>
            </w:tr>
          </w:tbl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</w:t>
      </w: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-202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年度企业实缴税收表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45D96"/>
    <w:rsid w:val="796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2022-05-07T08:10:00Z</dcterms:created>
  <dc:creator>₩</dc:creator>
  <cp:lastModifiedBy>₩</cp:lastModifiedBy>
  <dcterms:modified xsi:type="dcterms:W3CDTF">2022-05-07T08:13:29Z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