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关于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高水平培育新时代半岛工匠队伍实施意见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任务分解表</w:t>
      </w:r>
    </w:p>
    <w:tbl>
      <w:tblPr>
        <w:tblStyle w:val="7"/>
        <w:tblpPr w:leftFromText="180" w:rightFromText="180" w:vertAnchor="text" w:horzAnchor="page" w:tblpXSpec="center" w:tblpY="3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23"/>
        <w:gridCol w:w="4548"/>
        <w:gridCol w:w="1896"/>
        <w:gridCol w:w="4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64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工作内容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牵头单位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（一）实施工匠人才成长行动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大力开展各类技能培训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县财政局、各行业主管部门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加强工匠队伍培养、研修力度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县委组织部、县经信局、县财政局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积极推进“半岛工匠”遴选培育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县委组织部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县财政局、县总工会、团县委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（二）实施高端工匠引进集聚行动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大力推进优秀紧缺工匠引才工作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县委组织部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县经信局、县财政局、县国资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支持开展校企合作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tabs>
                <w:tab w:val="left" w:pos="575"/>
              </w:tabs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县财政局、县教育局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发挥“技能大师联盟”作用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tabs>
                <w:tab w:val="left" w:pos="575"/>
              </w:tabs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县经信局、县财政局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（三）实施“半岛工匠”培养平台建设行动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推动企业培训平台建设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县经信局、县教育局、县国资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推进公共实训基地建设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县经信局、县财政局、县国资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加大技能大师工作室建设力度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促进民办职业培训机构建设发展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县教育局、县民政局、县市场监管局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（四）实施工匠人才使用激励行动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实施工匠人才星级量化激励机制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县总工会、团县委、县妇联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提高技能人才政治待遇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县委组织部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县人大办公室、县政协办公室、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、县国资中心、县总工会、团县委、县妇联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提高技能人才经济、社会待遇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县委组织部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县发改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、县财政局、县经信局、县国资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中心、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县总工会、团县委、县妇联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鼓励上市公司实施股权激励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金融发展服务中心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6"/>
              <w:widowControl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（五）实施工匠人才多元评价行动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完善技能人才多元化评价机制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积极推进职业技能等级认定工作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推进各类人才职业资格融通发展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6"/>
              <w:widowControl w:val="0"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（六）实施技能大赛品牌打造行动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实施技能竞赛锤炼计划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县财政局、县教育局、县住建局、县交通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运输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局、县农业农村局、县总工会、团县委、县妇联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建立技能竞赛奖励制度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县财政局、县教育局、县总工会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（七）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实施工匠职业（技工）院校发展行动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加快职业（技工）院校建设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县教育局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县发改局、县财政局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推动职业（技工）教育改革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县发改局 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县教育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创新产教融合方法途径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县教育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县人力社保局</w:t>
            </w:r>
          </w:p>
        </w:tc>
        <w:tc>
          <w:tcPr>
            <w:tcW w:w="49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县发改局、县财政局、县经信局、县国资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中心</w:t>
            </w:r>
          </w:p>
        </w:tc>
      </w:tr>
    </w:tbl>
    <w:p/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C0750"/>
    <w:rsid w:val="701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楷体_GB2312" w:eastAsia="楷体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2022-05-20T03:04:00Z</dcterms:created>
  <dc:creator>企服中心</dc:creator>
  <cp:lastModifiedBy>企服中心</cp:lastModifiedBy>
  <dcterms:modified xsi:type="dcterms:W3CDTF">2022-05-20T03:06:26Z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AC0CC54A331A48F3B747210C075B2A5A</vt:lpwstr>
  </property>
</Properties>
</file>