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spacing w:line="640" w:lineRule="exact"/>
        <w:jc w:val="center"/>
        <w:rPr>
          <w:rFonts w:hint="eastAsia" w:ascii="方正小标宋_GBK" w:hAnsi="宋体" w:eastAsia="方正小标宋_GBK" w:cs="仿宋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仿宋"/>
          <w:sz w:val="44"/>
          <w:szCs w:val="44"/>
        </w:rPr>
        <w:t>2020年度象山县技术改造负面清单</w:t>
      </w:r>
    </w:p>
    <w:bookmarkEnd w:id="0"/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1.低端船舶制造项目；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2.不符合清洁生产要求的印染项目；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3.普通商品混凝土生产项目；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4.2000吨/日以下熟料新型干法水泥生产线，60万吨/年以下水泥粉磨站；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5.粘土空心砖生产线；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6.10万立方米/年以下的加气混凝土生产线；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7.3000万标砖/年以下的煤矸石、页岩烧结实心砖生产线；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8.新建普通铸锻件项目；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9.二手和辅助设备；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10.太阳能光伏发电项目；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11.《产业结构调整指导目录（2019年本）》中，列入淘汰类的项目。</w:t>
      </w:r>
    </w:p>
    <w:p>
      <w:pPr>
        <w:spacing w:line="520" w:lineRule="exact"/>
        <w:ind w:firstLine="640" w:firstLineChars="200"/>
        <w:rPr>
          <w:rFonts w:hint="eastAsia" w:ascii="黑体" w:eastAsia="黑体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/>
          <w:sz w:val="32"/>
          <w:szCs w:val="32"/>
        </w:rPr>
      </w:pPr>
    </w:p>
    <w:p/>
    <w:sectPr>
      <w:pgSz w:w="11906" w:h="16838"/>
      <w:pgMar w:top="2098" w:right="1474" w:bottom="1814" w:left="1588" w:header="851" w:footer="992" w:gutter="0"/>
      <w:pgNumType w:fmt="numberInDash"/>
      <w:cols w:space="720" w:num="1"/>
      <w:docGrid w:linePitch="317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YWI1ZjliNzc5OGU4ZDM4MWYwNGU2YWJkMDMwYmQifQ=="/>
  </w:docVars>
  <w:rsids>
    <w:rsidRoot w:val="24E62AFB"/>
    <w:rsid w:val="24E6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2022-12-13T03:05:00Z</dcterms:created>
  <dc:creator>企服中心</dc:creator>
  <cp:lastModifiedBy>企服中心</cp:lastModifiedBy>
  <dcterms:modified xsi:type="dcterms:W3CDTF">2022-12-13T03:05:45Z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59D1BA06CEDA46479A54C90EC71AC8BE</vt:lpwstr>
  </property>
</Properties>
</file>