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6"/>
          <w:sz w:val="34"/>
          <w:szCs w:val="34"/>
        </w:rPr>
        <w:t>附件2</w:t>
      </w:r>
    </w:p>
    <w:p>
      <w:pPr>
        <w:spacing w:before="179" w:line="206" w:lineRule="auto"/>
        <w:ind w:left="3374"/>
        <w:rPr>
          <w:rFonts w:ascii="宋体" w:hAnsi="宋体" w:eastAsia="宋体" w:cs="宋体"/>
          <w:sz w:val="34"/>
          <w:szCs w:val="34"/>
        </w:rPr>
      </w:pPr>
      <w:bookmarkStart w:id="0" w:name="_GoBack"/>
      <w:r>
        <w:rPr>
          <w:rFonts w:ascii="宋体" w:hAnsi="宋体" w:eastAsia="宋体" w:cs="宋体"/>
          <w:b/>
          <w:bCs/>
          <w:spacing w:val="66"/>
          <w:sz w:val="34"/>
          <w:szCs w:val="34"/>
        </w:rPr>
        <w:t>宁波市星级绿色工厂评价导则(2022版)</w:t>
      </w:r>
      <w:bookmarkEnd w:id="0"/>
    </w:p>
    <w:tbl>
      <w:tblPr>
        <w:tblStyle w:val="4"/>
        <w:tblW w:w="13566" w:type="dxa"/>
        <w:tblInd w:w="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169"/>
        <w:gridCol w:w="5326"/>
        <w:gridCol w:w="1259"/>
        <w:gridCol w:w="4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64" w:type="dxa"/>
            <w:vAlign w:val="top"/>
          </w:tcPr>
          <w:p>
            <w:pPr>
              <w:spacing w:before="71" w:line="220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69" w:type="dxa"/>
            <w:vAlign w:val="top"/>
          </w:tcPr>
          <w:p>
            <w:pPr>
              <w:spacing w:before="71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326" w:type="dxa"/>
            <w:vAlign w:val="top"/>
          </w:tcPr>
          <w:p>
            <w:pPr>
              <w:spacing w:before="71" w:line="221" w:lineRule="auto"/>
              <w:ind w:left="2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具体要求</w:t>
            </w:r>
          </w:p>
        </w:tc>
        <w:tc>
          <w:tcPr>
            <w:tcW w:w="1259" w:type="dxa"/>
            <w:vAlign w:val="top"/>
          </w:tcPr>
          <w:p>
            <w:pPr>
              <w:spacing w:before="70" w:line="219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标准分值</w:t>
            </w:r>
          </w:p>
        </w:tc>
        <w:tc>
          <w:tcPr>
            <w:tcW w:w="4548" w:type="dxa"/>
            <w:vAlign w:val="top"/>
          </w:tcPr>
          <w:p>
            <w:pPr>
              <w:spacing w:before="68" w:line="218" w:lineRule="auto"/>
              <w:ind w:left="1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</w:rPr>
              <w:t>评价细则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基本条件</w:t>
            </w:r>
          </w:p>
        </w:tc>
        <w:tc>
          <w:tcPr>
            <w:tcW w:w="116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310" w:lineRule="exact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合规性</w:t>
            </w:r>
          </w:p>
          <w:p>
            <w:pPr>
              <w:spacing w:line="220" w:lineRule="auto"/>
              <w:ind w:left="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要求</w:t>
            </w:r>
          </w:p>
        </w:tc>
        <w:tc>
          <w:tcPr>
            <w:tcW w:w="5326" w:type="dxa"/>
            <w:vAlign w:val="top"/>
          </w:tcPr>
          <w:p>
            <w:pPr>
              <w:spacing w:before="7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工厂应依法设立，在建设和生产过程中应遵守有关法律、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法规、政策和标准；近三年无重大安全、环保、质量等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事故，成立不足三年的企业，成立以来无重大安全、环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保、质量等事故。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48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48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一票否决</w:t>
            </w:r>
          </w:p>
        </w:tc>
        <w:tc>
          <w:tcPr>
            <w:tcW w:w="4548" w:type="dxa"/>
            <w:vAlign w:val="top"/>
          </w:tcPr>
          <w:p>
            <w:pPr>
              <w:spacing w:before="65" w:line="248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48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一票否决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80" w:line="219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管理职责</w:t>
            </w:r>
          </w:p>
        </w:tc>
        <w:tc>
          <w:tcPr>
            <w:tcW w:w="5326" w:type="dxa"/>
            <w:vAlign w:val="top"/>
          </w:tcPr>
          <w:p>
            <w:pPr>
              <w:spacing w:before="60" w:line="230" w:lineRule="auto"/>
              <w:ind w:righ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工厂设有绿色工厂管理机构或有专人负责有关绿色发展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的制度建设、实施等工作。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48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一票否决</w:t>
            </w:r>
          </w:p>
        </w:tc>
        <w:tc>
          <w:tcPr>
            <w:tcW w:w="4548" w:type="dxa"/>
            <w:vAlign w:val="top"/>
          </w:tcPr>
          <w:p>
            <w:pPr>
              <w:spacing w:before="65" w:line="248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一票否决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72" w:line="220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亩均效益</w:t>
            </w:r>
          </w:p>
        </w:tc>
        <w:tc>
          <w:tcPr>
            <w:tcW w:w="5326" w:type="dxa"/>
            <w:vAlign w:val="top"/>
          </w:tcPr>
          <w:p>
            <w:pPr>
              <w:spacing w:before="69" w:line="21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工厂上年度“亩均效益综合评价”在B档及以上。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48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一票否决</w:t>
            </w:r>
          </w:p>
        </w:tc>
        <w:tc>
          <w:tcPr>
            <w:tcW w:w="4548" w:type="dxa"/>
            <w:vAlign w:val="top"/>
          </w:tcPr>
          <w:p>
            <w:pPr>
              <w:spacing w:before="65" w:line="248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一票否决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44" w:lineRule="auto"/>
              <w:ind w:left="413" w:right="21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基础设施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(21)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建筑设施</w:t>
            </w:r>
          </w:p>
        </w:tc>
        <w:tc>
          <w:tcPr>
            <w:tcW w:w="5326" w:type="dxa"/>
            <w:vAlign w:val="top"/>
          </w:tcPr>
          <w:p>
            <w:pPr>
              <w:spacing w:before="93" w:line="254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工厂新建、改建和扩建的建筑应遵守国家“固定资产投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资项目节能评估审查制度”、“环境影响评价制度”、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“三同时制度”、“工业项目建设用地控制指标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”等产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业政策和有关要求，符合国家或地方相关法律法规及相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对应的工厂设计规范标准的要求，在满足生产功能要求下，并应满足采光、通风、保温、防水、隔热、防腐蚀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等要求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。</w:t>
            </w:r>
          </w:p>
        </w:tc>
        <w:tc>
          <w:tcPr>
            <w:tcW w:w="125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4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4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提供相关佐证材料。全部符合要求的得满分，部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分不符合的酌情得分。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26" w:type="dxa"/>
            <w:vAlign w:val="top"/>
          </w:tcPr>
          <w:p>
            <w:pPr>
              <w:spacing w:before="114" w:line="226" w:lineRule="auto"/>
              <w:ind w:righ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危险品仓库、有毒有害操作间、废弃物处理(暂存)间 等产生污染物的房间应独立设置。</w:t>
            </w:r>
          </w:p>
        </w:tc>
        <w:tc>
          <w:tcPr>
            <w:tcW w:w="1259" w:type="dxa"/>
            <w:vAlign w:val="top"/>
          </w:tcPr>
          <w:p>
            <w:pPr>
              <w:spacing w:before="269" w:line="183" w:lineRule="auto"/>
              <w:ind w:left="5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48" w:type="dxa"/>
            <w:vAlign w:val="top"/>
          </w:tcPr>
          <w:p>
            <w:pPr>
              <w:spacing w:before="94" w:line="235" w:lineRule="auto"/>
              <w:ind w:right="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提供现场照片(彩打)并且标识符合要求。根据 企业类别应设需设，得3分。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设备设施</w:t>
            </w:r>
          </w:p>
        </w:tc>
        <w:tc>
          <w:tcPr>
            <w:tcW w:w="5326" w:type="dxa"/>
            <w:vAlign w:val="top"/>
          </w:tcPr>
          <w:p>
            <w:pPr>
              <w:spacing w:before="215" w:line="233" w:lineRule="auto"/>
              <w:ind w:righ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工厂专用生产设备需符合产业准入要求，降低能源与资源消耗，减少污染物排放。</w:t>
            </w:r>
          </w:p>
        </w:tc>
        <w:tc>
          <w:tcPr>
            <w:tcW w:w="125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548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明确专用生产设备清单，并分析其产业准入符合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性或者在节能和污染物排放方面的先进性，提供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主要照片和铭牌信息。符合要求得2分。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26" w:type="dxa"/>
            <w:vAlign w:val="top"/>
          </w:tcPr>
          <w:p>
            <w:pPr>
              <w:spacing w:before="216" w:line="242" w:lineRule="auto"/>
              <w:ind w:righ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已明令禁止生产、能耗高、效率低的工厂生产设备应限期淘汰更新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。</w:t>
            </w:r>
          </w:p>
        </w:tc>
        <w:tc>
          <w:tcPr>
            <w:tcW w:w="125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48" w:type="dxa"/>
            <w:vAlign w:val="top"/>
          </w:tcPr>
          <w:p>
            <w:pPr>
              <w:spacing w:before="96" w:line="23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(若有)明确限期淘汰更新设备清单，并在淘汰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时间上做出承诺。符合限期淘汰更新要求的，得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。</w:t>
            </w: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98" w:line="18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6"/>
          <w:w w:val="89"/>
          <w:sz w:val="30"/>
          <w:szCs w:val="30"/>
        </w:rPr>
        <w:t>—4—</w:t>
      </w:r>
    </w:p>
    <w:p>
      <w:pPr>
        <w:sectPr>
          <w:footerReference r:id="rId5" w:type="default"/>
          <w:pgSz w:w="16840" w:h="11900"/>
          <w:pgMar w:top="1011" w:right="1658" w:bottom="400" w:left="1410" w:header="0" w:footer="0" w:gutter="0"/>
          <w:cols w:space="720" w:num="1"/>
        </w:sectPr>
      </w:pPr>
    </w:p>
    <w:p>
      <w:pPr>
        <w:spacing w:line="69" w:lineRule="exact"/>
      </w:pPr>
    </w:p>
    <w:tbl>
      <w:tblPr>
        <w:tblStyle w:val="4"/>
        <w:tblW w:w="1356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169"/>
        <w:gridCol w:w="5336"/>
        <w:gridCol w:w="1259"/>
        <w:gridCol w:w="4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4" w:hRule="atLeast"/>
        </w:trPr>
        <w:tc>
          <w:tcPr>
            <w:tcW w:w="1254" w:type="dxa"/>
            <w:vAlign w:val="top"/>
          </w:tcPr>
          <w:p>
            <w:pPr>
              <w:spacing w:before="51"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69" w:type="dxa"/>
            <w:vAlign w:val="top"/>
          </w:tcPr>
          <w:p>
            <w:pPr>
              <w:spacing w:before="51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336" w:type="dxa"/>
            <w:vAlign w:val="top"/>
          </w:tcPr>
          <w:p>
            <w:pPr>
              <w:spacing w:before="51" w:line="221" w:lineRule="auto"/>
              <w:ind w:left="2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具体要求</w:t>
            </w:r>
          </w:p>
        </w:tc>
        <w:tc>
          <w:tcPr>
            <w:tcW w:w="1259" w:type="dxa"/>
            <w:vAlign w:val="top"/>
          </w:tcPr>
          <w:p>
            <w:pPr>
              <w:spacing w:before="50" w:line="219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标准分值</w:t>
            </w:r>
          </w:p>
        </w:tc>
        <w:tc>
          <w:tcPr>
            <w:tcW w:w="4549" w:type="dxa"/>
            <w:vAlign w:val="top"/>
          </w:tcPr>
          <w:p>
            <w:pPr>
              <w:spacing w:before="48" w:line="218" w:lineRule="auto"/>
              <w:ind w:left="18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评价细则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(适用时)对变压器、风机、水泵等通用设备应达到相关标准中能效限定值的强制性要求。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对变压器、风机、水泵等通用设备进行对标分析 并明确能效等级，提供主要照片和铭牌信息。符 合要求的，得2分。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9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403" w:right="217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基础设施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(21)</w:t>
            </w:r>
          </w:p>
        </w:tc>
        <w:tc>
          <w:tcPr>
            <w:tcW w:w="1169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设备设施</w:t>
            </w: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工厂应投入适宜的污染物处理设备，以确保其污染物排 放达到相关法律法规及标准要求，污染物处理设备的处 理能力应与工厂生产排放相适应，并应正常运行。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明确环境污染治理设备清单及处理能力，提供污 染物处理设施照片，工艺要求与“三同时”验收 相一致。满足生产能力要求并正常运行，得2 分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计量设施</w:t>
            </w: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工厂应依据GB 17167、GB 24789等要求配备、使用和管   理能源、水以及其他资源的计量器具和装置。工厂能源   资源达到二级计量，环保设施、照明、冷水机组、锅炉、 冷却塔、空气处理设备等设备单独设置计量。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工厂能源资源达到一级计量得1分；二级计量得  2分；达到二级计量且满足分类计量要求得4分。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照明</w:t>
            </w: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工厂厂区及各房间或场所的照明功率密度应符合GB 50034规定现行值，使用节能灯等节能型照明设备。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符合规范要求得1分；符合规范要求，且使用节 能照明设备使用率80%以上得2分(特殊场合不 能达标使用的需说明理由)。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44" w:lineRule="auto"/>
              <w:ind w:right="18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管理体系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(12)</w:t>
            </w:r>
          </w:p>
        </w:tc>
        <w:tc>
          <w:tcPr>
            <w:tcW w:w="1169" w:type="dxa"/>
            <w:vAlign w:val="top"/>
          </w:tcPr>
          <w:p>
            <w:pPr>
              <w:spacing w:before="72" w:line="227" w:lineRule="auto"/>
              <w:ind w:left="360" w:right="177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工厂应建立满足GB/T19001要求的质量管理制度，并实 施和保持。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建立制度得1分；建立体系得2分；通过质量管理体系认证或行业质量管理体系认证得3分。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84" w:line="226" w:lineRule="auto"/>
              <w:ind w:left="360" w:right="176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环境管理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工厂应建立满足GB/T24001要求的环境管理制度，并实 施和保持。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建立制度得1分；建立体系得2分；通过第三方认证得3分。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95" w:line="219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职业健康</w:t>
            </w:r>
          </w:p>
          <w:p>
            <w:pPr>
              <w:spacing w:before="30" w:line="219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安全管理</w:t>
            </w:r>
          </w:p>
          <w:p>
            <w:pPr>
              <w:spacing w:before="61" w:line="204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工厂应建立满足GB/T45001要求的职业健康安全管理制 度，并实施和保持。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建立制度得1分；建立体系得2分；通过第三方认证得3分。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86" w:line="221" w:lineRule="auto"/>
              <w:ind w:left="360" w:right="160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能源管理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体系</w:t>
            </w: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工厂应建立满足GB/T23331要求的能源管理制度，并实 施和保持。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建立制度得1分；建立体系得2分；通过第三方认证得3分。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3" w:hRule="atLeast"/>
        </w:trPr>
        <w:tc>
          <w:tcPr>
            <w:tcW w:w="125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74" w:right="89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能源与资源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投入(11)</w:t>
            </w:r>
          </w:p>
        </w:tc>
        <w:tc>
          <w:tcPr>
            <w:tcW w:w="116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能源投入</w:t>
            </w:r>
          </w:p>
        </w:tc>
        <w:tc>
          <w:tcPr>
            <w:tcW w:w="533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工厂应根据行业现实情况优化用能结构，在保证安全、 质量的前提下减少不可再生能源投入，应采用能源梯级 利用、能源回收利用，逐步提高非化石能源所占比例， 充分利用余热余压等。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6</w:t>
            </w:r>
          </w:p>
        </w:tc>
        <w:tc>
          <w:tcPr>
            <w:tcW w:w="454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优化用能结构并减少能源投入，有能源梯级利 用、能源回收利用、余热余压利用等节能措施的 得1分；近三年内有实施投资额在50万元以上节能降碳项目的(1000吨标煤以下的企业可以</w:t>
            </w:r>
          </w:p>
        </w:tc>
      </w:tr>
    </w:tbl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17" w:line="182" w:lineRule="auto"/>
        <w:jc w:val="right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8"/>
          <w:w w:val="66"/>
          <w:sz w:val="36"/>
          <w:szCs w:val="36"/>
        </w:rPr>
        <w:t>—5—</w:t>
      </w:r>
    </w:p>
    <w:p>
      <w:pPr>
        <w:sectPr>
          <w:pgSz w:w="16840" w:h="11900"/>
          <w:pgMar w:top="1011" w:right="1524" w:bottom="400" w:left="1605" w:header="0" w:footer="0" w:gutter="0"/>
          <w:cols w:space="720" w:num="1"/>
        </w:sectPr>
      </w:pPr>
    </w:p>
    <w:p>
      <w:pPr>
        <w:spacing w:line="49" w:lineRule="exact"/>
      </w:pPr>
    </w:p>
    <w:tbl>
      <w:tblPr>
        <w:tblStyle w:val="4"/>
        <w:tblW w:w="13559" w:type="dxa"/>
        <w:tblInd w:w="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179"/>
        <w:gridCol w:w="5326"/>
        <w:gridCol w:w="1259"/>
        <w:gridCol w:w="4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1254" w:type="dxa"/>
            <w:vAlign w:val="top"/>
          </w:tcPr>
          <w:p>
            <w:pPr>
              <w:spacing w:before="71" w:line="220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79" w:type="dxa"/>
            <w:vAlign w:val="top"/>
          </w:tcPr>
          <w:p>
            <w:pPr>
              <w:spacing w:before="71" w:line="220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326" w:type="dxa"/>
            <w:vAlign w:val="top"/>
          </w:tcPr>
          <w:p>
            <w:pPr>
              <w:spacing w:before="71" w:line="221" w:lineRule="auto"/>
              <w:ind w:left="2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具体要求</w:t>
            </w:r>
          </w:p>
        </w:tc>
        <w:tc>
          <w:tcPr>
            <w:tcW w:w="1259" w:type="dxa"/>
            <w:vAlign w:val="top"/>
          </w:tcPr>
          <w:p>
            <w:pPr>
              <w:spacing w:before="70" w:line="219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标准分值</w:t>
            </w:r>
          </w:p>
        </w:tc>
        <w:tc>
          <w:tcPr>
            <w:tcW w:w="4541" w:type="dxa"/>
            <w:vAlign w:val="top"/>
          </w:tcPr>
          <w:p>
            <w:pPr>
              <w:spacing w:before="68" w:line="218" w:lineRule="auto"/>
              <w:ind w:left="18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评价细则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2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</w:tc>
        <w:tc>
          <w:tcPr>
            <w:tcW w:w="454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放宽到20万元),得3分。采用新能源系统，有实施光伏、风力发电等项目或建立智慧能源管理系统的，得3分。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资源投入</w:t>
            </w:r>
          </w:p>
        </w:tc>
        <w:tc>
          <w:tcPr>
            <w:tcW w:w="532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工厂应按照GB/T7119的要求对其开展节水评价工作。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</w:p>
        </w:tc>
        <w:tc>
          <w:tcPr>
            <w:tcW w:w="454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满足规范要求得2分。近五年内通过节水型企业 评定或有实施投资额在10万元以上节水改造项 目以上的得3分。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1254" w:type="dxa"/>
            <w:vAlign w:val="top"/>
          </w:tcPr>
          <w:p>
            <w:pPr>
              <w:spacing w:before="192" w:line="246" w:lineRule="auto"/>
              <w:ind w:left="84" w:right="80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能源与资源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投入(11)</w:t>
            </w:r>
          </w:p>
        </w:tc>
        <w:tc>
          <w:tcPr>
            <w:tcW w:w="11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采购</w:t>
            </w:r>
          </w:p>
        </w:tc>
        <w:tc>
          <w:tcPr>
            <w:tcW w:w="532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工厂应制定并实施包括环保要求的选择、评价和重新评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价供方的准则，确保供方能够提供符合工厂环保要求的 材料、元器件、部件或组件。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</w:t>
            </w:r>
          </w:p>
        </w:tc>
        <w:tc>
          <w:tcPr>
            <w:tcW w:w="454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提供程序文件中有明确环保要求的相关材料。符 合要求得2分。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9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产品(11)</w:t>
            </w:r>
          </w:p>
        </w:tc>
        <w:tc>
          <w:tcPr>
            <w:tcW w:w="117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生态设计</w:t>
            </w:r>
          </w:p>
        </w:tc>
        <w:tc>
          <w:tcPr>
            <w:tcW w:w="532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工厂在产品设计中引入生态设计的理念。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</w:t>
            </w:r>
          </w:p>
        </w:tc>
        <w:tc>
          <w:tcPr>
            <w:tcW w:w="454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对产品结构、性能、工艺等明确具有生态化设计 (提供详细材料)得3分；入选工信部绿色设计 产品或入选绿色设计示范企业得4分。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8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369" w:right="14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有害物质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使用</w:t>
            </w:r>
          </w:p>
        </w:tc>
        <w:tc>
          <w:tcPr>
            <w:tcW w:w="532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工厂生产的产品(包括原料和辅料)应控制、减少有害物质的使用量，并满足国家对产品中有害物质限制使用的要求 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</w:t>
            </w:r>
          </w:p>
        </w:tc>
        <w:tc>
          <w:tcPr>
            <w:tcW w:w="454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提供产品或原辅料有害物质限量检测报告，产品 (包括原料和辅料)满足有害物质限制使用要求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得3分；且有减少或替代有害物质使用措施的得 4 分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8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节能</w:t>
            </w:r>
          </w:p>
        </w:tc>
        <w:tc>
          <w:tcPr>
            <w:tcW w:w="532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工厂生产的产品若为用能产品，应满足相关产品的国家、 行业或地方发布的产品能效标准中的限定值要求，未制定产品能效标准的，产品能效应不低于行业平均值。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</w:p>
        </w:tc>
        <w:tc>
          <w:tcPr>
            <w:tcW w:w="454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产品为用能产品，能效满足产品标准限定值或不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低于行业平均值(行业平均值可由权威的第三方 提供)得2分，达到先进值得3分。不适用时给满 分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3" w:hRule="atLeast"/>
        </w:trPr>
        <w:tc>
          <w:tcPr>
            <w:tcW w:w="1254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环境污染排</w:t>
            </w:r>
          </w:p>
          <w:p>
            <w:pPr>
              <w:spacing w:before="60" w:line="221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放(20)</w:t>
            </w:r>
          </w:p>
        </w:tc>
        <w:tc>
          <w:tcPr>
            <w:tcW w:w="117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8" w:line="320" w:lineRule="exact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大气</w:t>
            </w:r>
          </w:p>
          <w:p>
            <w:pPr>
              <w:spacing w:line="220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污染物</w:t>
            </w:r>
          </w:p>
        </w:tc>
        <w:tc>
          <w:tcPr>
            <w:tcW w:w="532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工厂应根据大气污染物性质，做好大气污染物的分类收   集和治理，大气污染物排放浓度及排放总量应符合国家、 地方污染物标准或规章要求和主要污染物排放总量控制规定 。</w:t>
            </w:r>
          </w:p>
        </w:tc>
        <w:tc>
          <w:tcPr>
            <w:tcW w:w="125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</w:t>
            </w:r>
          </w:p>
        </w:tc>
        <w:tc>
          <w:tcPr>
            <w:tcW w:w="454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提供最新的有效第三方检测报告(近两年内), 有排放总量要求的需提供排污许可证、评价年度 排放总量计算过程或排污许可证执行年报。排放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符合要求的，得4分。检测结果或排放总量不符 合要求，不得分。</w:t>
            </w:r>
          </w:p>
        </w:tc>
      </w:tr>
    </w:tbl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7" w:line="18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8"/>
          <w:w w:val="90"/>
          <w:sz w:val="30"/>
          <w:szCs w:val="30"/>
        </w:rPr>
        <w:t>—6—</w:t>
      </w:r>
    </w:p>
    <w:p>
      <w:pPr>
        <w:sectPr>
          <w:pgSz w:w="16840" w:h="11900"/>
          <w:pgMar w:top="1011" w:right="1665" w:bottom="400" w:left="1410" w:header="0" w:footer="0" w:gutter="0"/>
          <w:cols w:space="720" w:num="1"/>
        </w:sectPr>
      </w:pPr>
    </w:p>
    <w:p>
      <w:pPr>
        <w:spacing w:line="49" w:lineRule="exact"/>
      </w:pPr>
    </w:p>
    <w:tbl>
      <w:tblPr>
        <w:tblStyle w:val="4"/>
        <w:tblW w:w="13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199"/>
        <w:gridCol w:w="5306"/>
        <w:gridCol w:w="1289"/>
        <w:gridCol w:w="4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1254" w:type="dxa"/>
            <w:vAlign w:val="top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99" w:type="dxa"/>
            <w:vAlign w:val="top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306" w:type="dxa"/>
            <w:vAlign w:val="top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具体要求</w:t>
            </w:r>
          </w:p>
        </w:tc>
        <w:tc>
          <w:tcPr>
            <w:tcW w:w="1289" w:type="dxa"/>
            <w:vAlign w:val="top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标准分值</w:t>
            </w:r>
          </w:p>
        </w:tc>
        <w:tc>
          <w:tcPr>
            <w:tcW w:w="4571" w:type="dxa"/>
            <w:vAlign w:val="top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评价细则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68" w:line="320" w:lineRule="exact"/>
              <w:ind w:left="370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水体</w:t>
            </w: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污染物</w:t>
            </w:r>
          </w:p>
        </w:tc>
        <w:tc>
          <w:tcPr>
            <w:tcW w:w="530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工厂应根据废水污染物特性，做好废水分类、收集和治  理，废水污染物排放浓度及排放总量应符合国家、地方  污染物排放标准要求和主要污染物排放总量控制规定。</w:t>
            </w:r>
          </w:p>
        </w:tc>
        <w:tc>
          <w:tcPr>
            <w:tcW w:w="128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</w:t>
            </w:r>
          </w:p>
        </w:tc>
        <w:tc>
          <w:tcPr>
            <w:tcW w:w="457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提供最新的有效第三方检测报告(近两年内), 有排放总量要求的需提供排污许可证、评价年度 排放总量计算过程或排污许可证执行年报。排放 符合要求，得4分。检测结果或排放总量不符合 要求的，不得分。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68" w:line="320" w:lineRule="exact"/>
              <w:ind w:left="370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固体</w:t>
            </w: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废弃物</w:t>
            </w:r>
          </w:p>
        </w:tc>
        <w:tc>
          <w:tcPr>
            <w:tcW w:w="530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工厂产生的固体废弃物的处理(暂存)应符合GB18599、 GB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18597等相关标准要求。工厂无法自行处理的，应将固 体废弃物转交给具备相应能力和资质的专业公司进行处  理 。</w:t>
            </w:r>
          </w:p>
        </w:tc>
        <w:tc>
          <w:tcPr>
            <w:tcW w:w="128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5</w:t>
            </w:r>
          </w:p>
        </w:tc>
        <w:tc>
          <w:tcPr>
            <w:tcW w:w="457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提供有效委外处置合同和危废转移联单。符合要 求的得4分；且危废类别和处置量符合企业实际 的得5分。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噪声</w:t>
            </w:r>
          </w:p>
        </w:tc>
        <w:tc>
          <w:tcPr>
            <w:tcW w:w="530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工厂的厂界环境噪声排放应符合国家相关标准要求。</w:t>
            </w:r>
          </w:p>
        </w:tc>
        <w:tc>
          <w:tcPr>
            <w:tcW w:w="128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</w:t>
            </w:r>
          </w:p>
        </w:tc>
        <w:tc>
          <w:tcPr>
            <w:tcW w:w="457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提供最新的有效第三方检测报告(近两年内)。 符合要求得3分。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88" w:hRule="atLeast"/>
        </w:trPr>
        <w:tc>
          <w:tcPr>
            <w:tcW w:w="1254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环境污染排 放(20)</w:t>
            </w:r>
          </w:p>
        </w:tc>
        <w:tc>
          <w:tcPr>
            <w:tcW w:w="1199" w:type="dxa"/>
            <w:vAlign w:val="top"/>
          </w:tcPr>
          <w:p>
            <w:pPr>
              <w:spacing w:before="68" w:line="320" w:lineRule="exact"/>
              <w:ind w:left="370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ind w:left="370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温室气体</w:t>
            </w:r>
          </w:p>
        </w:tc>
        <w:tc>
          <w:tcPr>
            <w:tcW w:w="530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工厂应采用GB/T32150或适用的标准或规范对其厂界范 围内的温室气体排放进行核算。</w:t>
            </w:r>
          </w:p>
        </w:tc>
        <w:tc>
          <w:tcPr>
            <w:tcW w:w="128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4</w:t>
            </w:r>
          </w:p>
        </w:tc>
        <w:tc>
          <w:tcPr>
            <w:tcW w:w="457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提供最新的有效温室气体排放报告或温室气体  排放核查报告(近两年内)。提供企业温室气体  排放报告的得3分；提供第三方核查报告的得4  分。(备注：温室气体排放核算参照相应行业的  温室气体核算方法与报告指南；热力与电力“排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放因子”分别取0.095tC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02/GJ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和0.64kgCO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2/MWh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, 若宁波市有统一公布更新指标，从其规定。)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9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绩效(25)</w:t>
            </w:r>
          </w:p>
        </w:tc>
        <w:tc>
          <w:tcPr>
            <w:tcW w:w="1199" w:type="dxa"/>
            <w:vAlign w:val="top"/>
          </w:tcPr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用地</w:t>
            </w: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集约化</w:t>
            </w:r>
          </w:p>
        </w:tc>
        <w:tc>
          <w:tcPr>
            <w:tcW w:w="530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工厂容积率、建筑密度不低于《工业项目建设用地控制 指标》要求。</w:t>
            </w:r>
          </w:p>
        </w:tc>
        <w:tc>
          <w:tcPr>
            <w:tcW w:w="128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5</w:t>
            </w:r>
          </w:p>
        </w:tc>
        <w:tc>
          <w:tcPr>
            <w:tcW w:w="457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容积率达到规定要求得2分；达到1.5倍及以上 得3分；低于要求的不得分。建筑密度不低于30%得1分；达到40%得2分；低于要求的不得分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68" w:line="320" w:lineRule="exact"/>
              <w:ind w:left="370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资源</w:t>
            </w: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高效化</w:t>
            </w:r>
          </w:p>
        </w:tc>
        <w:tc>
          <w:tcPr>
            <w:tcW w:w="530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产品取水量应满足《浙江省用(取)水定额(2019年)》中 对应的取水定额要求。</w:t>
            </w:r>
          </w:p>
        </w:tc>
        <w:tc>
          <w:tcPr>
            <w:tcW w:w="1289" w:type="dxa"/>
            <w:vAlign w:val="top"/>
          </w:tcPr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6</w:t>
            </w:r>
          </w:p>
        </w:tc>
        <w:tc>
          <w:tcPr>
            <w:tcW w:w="4571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产品取水量达到省通用值得4分；达到先进值得 6分；未达到通用值的不得分(《浙江省用(取)水定额(2019年)》中无要求的，产值水耗或增加值水耗达到《宁波市工业产业能效》中行业平均水平的得4分；优于20%的得6分；未达到平均水平的不得分。)。</w:t>
            </w:r>
          </w:p>
        </w:tc>
      </w:tr>
    </w:tbl>
    <w:p>
      <w:pPr>
        <w:spacing w:before="65" w:line="235" w:lineRule="auto"/>
        <w:jc w:val="both"/>
        <w:rPr>
          <w:rFonts w:ascii="宋体" w:hAnsi="宋体" w:eastAsia="宋体" w:cs="宋体"/>
          <w:spacing w:val="10"/>
          <w:sz w:val="20"/>
          <w:szCs w:val="20"/>
        </w:rPr>
      </w:pPr>
    </w:p>
    <w:p>
      <w:pPr>
        <w:spacing w:before="65" w:line="235" w:lineRule="auto"/>
        <w:jc w:val="both"/>
        <w:rPr>
          <w:rFonts w:ascii="宋体" w:hAnsi="宋体" w:eastAsia="宋体" w:cs="宋体"/>
          <w:spacing w:val="10"/>
          <w:sz w:val="20"/>
          <w:szCs w:val="20"/>
        </w:rPr>
        <w:sectPr>
          <w:pgSz w:w="16840" w:h="11900"/>
          <w:pgMar w:top="1011" w:right="1524" w:bottom="400" w:left="1594" w:header="0" w:footer="0" w:gutter="0"/>
          <w:cols w:space="720" w:num="1"/>
        </w:sectPr>
      </w:pPr>
    </w:p>
    <w:tbl>
      <w:tblPr>
        <w:tblStyle w:val="4"/>
        <w:tblW w:w="13587" w:type="dxa"/>
        <w:tblInd w:w="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199"/>
        <w:gridCol w:w="5316"/>
        <w:gridCol w:w="1279"/>
        <w:gridCol w:w="4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54" w:type="dxa"/>
            <w:vAlign w:val="top"/>
          </w:tcPr>
          <w:p>
            <w:pPr>
              <w:spacing w:before="71" w:line="220" w:lineRule="auto"/>
              <w:ind w:left="187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一级指标</w:t>
            </w:r>
          </w:p>
        </w:tc>
        <w:tc>
          <w:tcPr>
            <w:tcW w:w="1199" w:type="dxa"/>
            <w:vAlign w:val="top"/>
          </w:tcPr>
          <w:p>
            <w:pPr>
              <w:spacing w:before="71" w:line="220" w:lineRule="auto"/>
              <w:ind w:left="187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二级指标</w:t>
            </w:r>
          </w:p>
        </w:tc>
        <w:tc>
          <w:tcPr>
            <w:tcW w:w="5316" w:type="dxa"/>
            <w:vAlign w:val="top"/>
          </w:tcPr>
          <w:p>
            <w:pPr>
              <w:spacing w:before="71" w:line="220" w:lineRule="auto"/>
              <w:ind w:left="187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具体要求</w:t>
            </w:r>
          </w:p>
        </w:tc>
        <w:tc>
          <w:tcPr>
            <w:tcW w:w="1279" w:type="dxa"/>
            <w:vAlign w:val="top"/>
          </w:tcPr>
          <w:p>
            <w:pPr>
              <w:spacing w:before="71" w:line="220" w:lineRule="auto"/>
              <w:ind w:left="187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标准分值</w:t>
            </w:r>
          </w:p>
        </w:tc>
        <w:tc>
          <w:tcPr>
            <w:tcW w:w="4539" w:type="dxa"/>
            <w:vAlign w:val="top"/>
          </w:tcPr>
          <w:p>
            <w:pPr>
              <w:spacing w:before="71" w:line="220" w:lineRule="auto"/>
              <w:ind w:left="187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评价细则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废物</w:t>
            </w: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资源化</w:t>
            </w:r>
          </w:p>
        </w:tc>
        <w:tc>
          <w:tcPr>
            <w:tcW w:w="531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工业固体废物处置率达到100%(含委外处理),有综合 利用设施的其利用率应大于85%。</w:t>
            </w:r>
          </w:p>
        </w:tc>
        <w:tc>
          <w:tcPr>
            <w:tcW w:w="127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6</w:t>
            </w:r>
          </w:p>
        </w:tc>
        <w:tc>
          <w:tcPr>
            <w:tcW w:w="453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一般工业固废分类回收的得3分；工业固废100% 处置或有综合利用设施且利用率大于85%的得6 分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能源</w:t>
            </w:r>
          </w:p>
          <w:p>
            <w:pPr>
              <w:spacing w:before="68" w:line="320" w:lineRule="exact"/>
              <w:jc w:val="center"/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低碳化</w:t>
            </w:r>
          </w:p>
        </w:tc>
        <w:tc>
          <w:tcPr>
            <w:tcW w:w="5316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工业产值能耗应达到市级行业平均水平。</w:t>
            </w:r>
          </w:p>
        </w:tc>
        <w:tc>
          <w:tcPr>
            <w:tcW w:w="127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8</w:t>
            </w:r>
          </w:p>
        </w:tc>
        <w:tc>
          <w:tcPr>
            <w:tcW w:w="4539" w:type="dxa"/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工业产值能耗达到宁波市小类行业平均水平的  得6分，优于20%的得8分，未达到平均水平的  不得分。企业实际生产涉及多个行业、多道工序， 导致与行业平均水平缺少可比性时，可以按工序(产品)能耗或清洁生产标准涉及能耗指标等相关标准规范对标，工序能耗均达到先进值或优于限定值20%及以上的，最高得8分；工序能耗均优于限定值10%及以上的，最高得6分；工序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能  耗均达到限定值的，最高得4分；工序能耗达不  到限定值的，不得分。(行业水平数据可根据《宁波工业产业能效》或者具有权威的第三方如行业协会提供)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5" w:type="dxa"/>
            <w:gridSpan w:val="2"/>
            <w:vAlign w:val="top"/>
          </w:tcPr>
          <w:p>
            <w:pPr>
              <w:spacing w:before="75" w:line="219" w:lineRule="auto"/>
              <w:ind w:left="28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合计得分</w:t>
            </w:r>
          </w:p>
        </w:tc>
        <w:tc>
          <w:tcPr>
            <w:tcW w:w="1279" w:type="dxa"/>
            <w:vAlign w:val="top"/>
          </w:tcPr>
          <w:p>
            <w:pPr>
              <w:spacing w:before="131" w:line="184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4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/>
    <w:sectPr>
      <w:footerReference r:id="rId6" w:type="default"/>
      <w:pgSz w:w="16840" w:h="11900" w:orient="landscape"/>
      <w:pgMar w:top="1785" w:right="1431" w:bottom="1785" w:left="1047" w:header="0" w:footer="8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0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20"/>
        <w:w w:val="98"/>
        <w:sz w:val="21"/>
        <w:szCs w:val="21"/>
      </w:rPr>
      <w:t>—21—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jI5NGM4NmI3MzM2YTFhMjczMDA1NTljZjk1OWEifQ=="/>
  </w:docVars>
  <w:rsids>
    <w:rsidRoot w:val="626C02AF"/>
    <w:rsid w:val="626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2023-02-14T00:41:00Z</dcterms:created>
  <dc:creator>小可</dc:creator>
  <cp:lastModifiedBy>小可</cp:lastModifiedBy>
  <dcterms:modified xsi:type="dcterms:W3CDTF">2023-02-14T01:15:49Z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5B78750D05AC4EA6B9349E66B80B1024</vt:lpwstr>
  </property>
</Properties>
</file>