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580" w:lineRule="exact"/>
        <w:rPr>
          <w:rFonts w:hint="eastAsia" w:ascii="仿宋_GB2312" w:hAnsi="Times New Roman" w:eastAsia="仿宋_GB2312" w:cs="Times New Roman"/>
          <w:color w:val="000000" w:themeColor="text1"/>
          <w:kern w:val="0"/>
          <w:sz w:val="32"/>
          <w:szCs w:val="32"/>
          <w:lang w:val="en-US" w:eastAsia="zh-CN"/>
          <w14:textFill>
            <w14:solidFill>
              <w14:schemeClr w14:val="tx1"/>
            </w14:solidFill>
          </w14:textFill>
        </w:rPr>
      </w:pPr>
      <w:r>
        <w:rPr>
          <w:rFonts w:hint="eastAsia" w:ascii="仿宋_GB2312" w:hAnsi="Times New Roman" w:eastAsia="仿宋_GB2312" w:cs="Times New Roman"/>
          <w:color w:val="000000" w:themeColor="text1"/>
          <w:kern w:val="0"/>
          <w:sz w:val="32"/>
          <w:szCs w:val="32"/>
          <w:lang w:val="en-US" w:eastAsia="zh-CN"/>
          <w14:textFill>
            <w14:solidFill>
              <w14:schemeClr w14:val="tx1"/>
            </w14:solidFill>
          </w14:textFill>
        </w:rPr>
        <w:t>附件5</w:t>
      </w:r>
    </w:p>
    <w:p>
      <w:pPr>
        <w:autoSpaceDE w:val="0"/>
        <w:autoSpaceDN w:val="0"/>
        <w:adjustRightInd w:val="0"/>
        <w:snapToGrid w:val="0"/>
        <w:spacing w:line="580" w:lineRule="exact"/>
        <w:rPr>
          <w:rFonts w:hint="eastAsia" w:ascii="仿宋_GB2312" w:hAnsi="Times New Roman" w:eastAsia="仿宋_GB2312" w:cs="Times New Roman"/>
          <w:color w:val="000000" w:themeColor="text1"/>
          <w:kern w:val="0"/>
          <w:sz w:val="32"/>
          <w:szCs w:val="32"/>
          <w:lang w:val="en-US" w:eastAsia="zh-CN"/>
          <w14:textFill>
            <w14:solidFill>
              <w14:schemeClr w14:val="tx1"/>
            </w14:solidFill>
          </w14:textFill>
        </w:rPr>
      </w:pPr>
    </w:p>
    <w:p>
      <w:pPr>
        <w:autoSpaceDE w:val="0"/>
        <w:autoSpaceDN w:val="0"/>
        <w:adjustRightInd w:val="0"/>
        <w:snapToGrid w:val="0"/>
        <w:spacing w:line="580" w:lineRule="exact"/>
        <w:jc w:val="center"/>
        <w:rPr>
          <w:rFonts w:ascii="创艺简标宋" w:hAnsi="楷体" w:eastAsia="创艺简标宋" w:cs="Times New Roman"/>
          <w:color w:val="000000" w:themeColor="text1"/>
          <w:kern w:val="0"/>
          <w:sz w:val="44"/>
          <w:szCs w:val="44"/>
          <w14:textFill>
            <w14:solidFill>
              <w14:schemeClr w14:val="tx1"/>
            </w14:solidFill>
          </w14:textFill>
        </w:rPr>
      </w:pPr>
      <w:r>
        <w:rPr>
          <w:rFonts w:hint="eastAsia" w:ascii="创艺简标宋" w:hAnsi="楷体" w:eastAsia="创艺简标宋" w:cs="Times New Roman"/>
          <w:color w:val="000000" w:themeColor="text1"/>
          <w:kern w:val="0"/>
          <w:sz w:val="44"/>
          <w:szCs w:val="44"/>
          <w14:textFill>
            <w14:solidFill>
              <w14:schemeClr w14:val="tx1"/>
            </w14:solidFill>
          </w14:textFill>
        </w:rPr>
        <w:t>宁波市星级绿色工厂评价办法（试行）</w:t>
      </w:r>
    </w:p>
    <w:p>
      <w:pPr>
        <w:autoSpaceDE w:val="0"/>
        <w:autoSpaceDN w:val="0"/>
        <w:adjustRightInd w:val="0"/>
        <w:snapToGrid w:val="0"/>
        <w:spacing w:line="580" w:lineRule="exact"/>
        <w:rPr>
          <w:rFonts w:ascii="创艺简标宋" w:hAnsi="楷体" w:eastAsia="创艺简标宋" w:cs="Times New Roman"/>
          <w:color w:val="000000" w:themeColor="text1"/>
          <w:kern w:val="0"/>
          <w:sz w:val="44"/>
          <w:szCs w:val="44"/>
          <w14:textFill>
            <w14:solidFill>
              <w14:schemeClr w14:val="tx1"/>
            </w14:solidFill>
          </w14:textFill>
        </w:rPr>
      </w:pPr>
    </w:p>
    <w:p>
      <w:pPr>
        <w:autoSpaceDE w:val="0"/>
        <w:autoSpaceDN w:val="0"/>
        <w:adjustRightInd w:val="0"/>
        <w:snapToGrid w:val="0"/>
        <w:spacing w:line="580" w:lineRule="exact"/>
        <w:jc w:val="center"/>
        <w:rPr>
          <w:rFonts w:ascii="黑体" w:hAnsi="黑体" w:eastAsia="黑体" w:cs="Times New Roman"/>
          <w:color w:val="000000" w:themeColor="text1"/>
          <w:kern w:val="0"/>
          <w:sz w:val="32"/>
          <w:szCs w:val="32"/>
          <w:lang w:val="zh-CN"/>
          <w14:textFill>
            <w14:solidFill>
              <w14:schemeClr w14:val="tx1"/>
            </w14:solidFill>
          </w14:textFill>
        </w:rPr>
      </w:pPr>
      <w:r>
        <w:rPr>
          <w:rFonts w:hint="eastAsia" w:ascii="黑体" w:hAnsi="黑体" w:eastAsia="黑体" w:cs="Times New Roman"/>
          <w:color w:val="000000" w:themeColor="text1"/>
          <w:kern w:val="0"/>
          <w:sz w:val="32"/>
          <w:szCs w:val="32"/>
          <w:lang w:val="zh-CN"/>
          <w14:textFill>
            <w14:solidFill>
              <w14:schemeClr w14:val="tx1"/>
            </w14:solidFill>
          </w14:textFill>
        </w:rPr>
        <w:t>第一章  总</w:t>
      </w:r>
      <w:r>
        <w:rPr>
          <w:rFonts w:hint="eastAsia" w:ascii="黑体" w:hAnsi="黑体" w:eastAsia="黑体" w:cs="Times New Roman"/>
          <w:color w:val="000000" w:themeColor="text1"/>
          <w:kern w:val="0"/>
          <w:sz w:val="32"/>
          <w:szCs w:val="32"/>
          <w14:textFill>
            <w14:solidFill>
              <w14:schemeClr w14:val="tx1"/>
            </w14:solidFill>
          </w14:textFill>
        </w:rPr>
        <w:t xml:space="preserve">  </w:t>
      </w:r>
      <w:r>
        <w:rPr>
          <w:rFonts w:hint="eastAsia" w:ascii="黑体" w:hAnsi="黑体" w:eastAsia="黑体" w:cs="Times New Roman"/>
          <w:color w:val="000000" w:themeColor="text1"/>
          <w:kern w:val="0"/>
          <w:sz w:val="32"/>
          <w:szCs w:val="32"/>
          <w:lang w:val="zh-CN"/>
          <w14:textFill>
            <w14:solidFill>
              <w14:schemeClr w14:val="tx1"/>
            </w14:solidFill>
          </w14:textFill>
        </w:rPr>
        <w:t>则</w:t>
      </w:r>
    </w:p>
    <w:p>
      <w:pPr>
        <w:autoSpaceDE w:val="0"/>
        <w:autoSpaceDN w:val="0"/>
        <w:adjustRightInd w:val="0"/>
        <w:snapToGrid w:val="0"/>
        <w:spacing w:line="580" w:lineRule="exact"/>
        <w:ind w:firstLine="640" w:firstLineChars="200"/>
        <w:rPr>
          <w:rFonts w:ascii="仿宋_GB2312" w:hAnsi="Times New Roman" w:eastAsia="仿宋_GB2312" w:cs="Times New Roman"/>
          <w:color w:val="000000" w:themeColor="text1"/>
          <w:kern w:val="0"/>
          <w:sz w:val="32"/>
          <w:szCs w:val="32"/>
          <w:lang w:val="zh-CN"/>
          <w14:textFill>
            <w14:solidFill>
              <w14:schemeClr w14:val="tx1"/>
            </w14:solidFill>
          </w14:textFill>
        </w:rPr>
      </w:pPr>
      <w:r>
        <w:rPr>
          <w:rFonts w:hint="eastAsia" w:ascii="楷体_GB2312" w:hAnsi="Times New Roman" w:eastAsia="楷体_GB2312" w:cs="Times New Roman"/>
          <w:color w:val="000000" w:themeColor="text1"/>
          <w:kern w:val="0"/>
          <w:sz w:val="32"/>
          <w:szCs w:val="32"/>
          <w:lang w:val="zh-CN"/>
          <w14:textFill>
            <w14:solidFill>
              <w14:schemeClr w14:val="tx1"/>
            </w14:solidFill>
          </w14:textFill>
        </w:rPr>
        <w:t>第一条</w:t>
      </w:r>
      <w:r>
        <w:rPr>
          <w:rFonts w:hint="eastAsia" w:ascii="仿宋_GB2312" w:hAnsi="Times New Roman" w:eastAsia="仿宋_GB2312" w:cs="Times New Roman"/>
          <w:color w:val="000000" w:themeColor="text1"/>
          <w:kern w:val="0"/>
          <w:sz w:val="32"/>
          <w:szCs w:val="32"/>
          <w:lang w:val="zh-CN"/>
          <w14:textFill>
            <w14:solidFill>
              <w14:schemeClr w14:val="tx1"/>
            </w14:solidFill>
          </w14:textFill>
        </w:rPr>
        <w:t xml:space="preserve">  为深入实施绿色制造工程，促进工业绿色发展，根据《关于开展绿色制造体系建设的通知》（工信厅节函〔2016〕586号）、《关于加快制造业绿色发展的指导意见》（浙经信绿色〔2020〕78号）、《</w:t>
      </w:r>
      <w:r>
        <w:rPr>
          <w:rFonts w:ascii="仿宋_GB2312" w:hAnsi="Times New Roman" w:eastAsia="仿宋_GB2312" w:cs="Times New Roman"/>
          <w:color w:val="000000" w:themeColor="text1"/>
          <w:kern w:val="0"/>
          <w:sz w:val="32"/>
          <w:szCs w:val="32"/>
          <w:lang w:val="zh-CN"/>
          <w14:textFill>
            <w14:solidFill>
              <w14:schemeClr w14:val="tx1"/>
            </w14:solidFill>
          </w14:textFill>
        </w:rPr>
        <w:t>关于</w:t>
      </w:r>
      <w:r>
        <w:rPr>
          <w:rFonts w:hint="eastAsia" w:ascii="仿宋_GB2312" w:hAnsi="Times New Roman" w:eastAsia="仿宋_GB2312" w:cs="Times New Roman"/>
          <w:color w:val="000000" w:themeColor="text1"/>
          <w:kern w:val="0"/>
          <w:sz w:val="32"/>
          <w:szCs w:val="32"/>
          <w:lang w:val="zh-CN"/>
          <w14:textFill>
            <w14:solidFill>
              <w14:schemeClr w14:val="tx1"/>
            </w14:solidFill>
          </w14:textFill>
        </w:rPr>
        <w:t>印发宁波市</w:t>
      </w:r>
      <w:r>
        <w:rPr>
          <w:rFonts w:ascii="仿宋_GB2312" w:hAnsi="Times New Roman" w:eastAsia="仿宋_GB2312" w:cs="Times New Roman"/>
          <w:color w:val="000000" w:themeColor="text1"/>
          <w:kern w:val="0"/>
          <w:sz w:val="32"/>
          <w:szCs w:val="32"/>
          <w:lang w:val="zh-CN"/>
          <w14:textFill>
            <w14:solidFill>
              <w14:schemeClr w14:val="tx1"/>
            </w14:solidFill>
          </w14:textFill>
        </w:rPr>
        <w:t>推进制造业高质量发展实施</w:t>
      </w:r>
      <w:r>
        <w:rPr>
          <w:rFonts w:hint="eastAsia" w:ascii="仿宋_GB2312" w:hAnsi="Times New Roman" w:eastAsia="仿宋_GB2312" w:cs="Times New Roman"/>
          <w:color w:val="000000" w:themeColor="text1"/>
          <w:kern w:val="0"/>
          <w:sz w:val="32"/>
          <w:szCs w:val="32"/>
          <w:lang w:val="zh-CN"/>
          <w14:textFill>
            <w14:solidFill>
              <w14:schemeClr w14:val="tx1"/>
            </w14:solidFill>
          </w14:textFill>
        </w:rPr>
        <w:t>方案（</w:t>
      </w:r>
      <w:r>
        <w:rPr>
          <w:rFonts w:hint="eastAsia" w:ascii="仿宋_GB2312" w:hAnsi="Times New Roman" w:eastAsia="仿宋_GB2312" w:cs="Times New Roman"/>
          <w:color w:val="000000" w:themeColor="text1"/>
          <w:kern w:val="0"/>
          <w:sz w:val="32"/>
          <w:szCs w:val="32"/>
          <w14:textFill>
            <w14:solidFill>
              <w14:schemeClr w14:val="tx1"/>
            </w14:solidFill>
          </w14:textFill>
        </w:rPr>
        <w:t>2020-2022年</w:t>
      </w:r>
      <w:r>
        <w:rPr>
          <w:rFonts w:hint="eastAsia" w:ascii="仿宋_GB2312" w:hAnsi="Times New Roman" w:eastAsia="仿宋_GB2312" w:cs="Times New Roman"/>
          <w:color w:val="000000" w:themeColor="text1"/>
          <w:kern w:val="0"/>
          <w:sz w:val="32"/>
          <w:szCs w:val="32"/>
          <w:lang w:val="zh-CN"/>
          <w14:textFill>
            <w14:solidFill>
              <w14:schemeClr w14:val="tx1"/>
            </w14:solidFill>
          </w14:textFill>
        </w:rPr>
        <w:t>）的通知》（</w:t>
      </w:r>
      <w:r>
        <w:rPr>
          <w:rFonts w:ascii="仿宋_GB2312" w:hAnsi="Times New Roman" w:eastAsia="仿宋_GB2312" w:cs="Times New Roman"/>
          <w:color w:val="000000" w:themeColor="text1"/>
          <w:kern w:val="0"/>
          <w:sz w:val="32"/>
          <w:szCs w:val="32"/>
          <w:lang w:val="zh-CN"/>
          <w14:textFill>
            <w14:solidFill>
              <w14:schemeClr w14:val="tx1"/>
            </w14:solidFill>
          </w14:textFill>
        </w:rPr>
        <w:t>甬政办发〔20</w:t>
      </w:r>
      <w:r>
        <w:rPr>
          <w:rFonts w:hint="eastAsia" w:ascii="仿宋_GB2312" w:hAnsi="Times New Roman" w:eastAsia="仿宋_GB2312" w:cs="Times New Roman"/>
          <w:color w:val="000000" w:themeColor="text1"/>
          <w:kern w:val="0"/>
          <w:sz w:val="32"/>
          <w:szCs w:val="32"/>
          <w14:textFill>
            <w14:solidFill>
              <w14:schemeClr w14:val="tx1"/>
            </w14:solidFill>
          </w14:textFill>
        </w:rPr>
        <w:t>19</w:t>
      </w:r>
      <w:r>
        <w:rPr>
          <w:rFonts w:ascii="仿宋_GB2312" w:hAnsi="Times New Roman" w:eastAsia="仿宋_GB2312" w:cs="Times New Roman"/>
          <w:color w:val="000000" w:themeColor="text1"/>
          <w:kern w:val="0"/>
          <w:sz w:val="32"/>
          <w:szCs w:val="32"/>
          <w:lang w:val="zh-CN"/>
          <w14:textFill>
            <w14:solidFill>
              <w14:schemeClr w14:val="tx1"/>
            </w14:solidFill>
          </w14:textFill>
        </w:rPr>
        <w:t>〕</w:t>
      </w:r>
      <w:r>
        <w:rPr>
          <w:rFonts w:hint="eastAsia" w:ascii="仿宋_GB2312" w:hAnsi="Times New Roman" w:eastAsia="仿宋_GB2312" w:cs="Times New Roman"/>
          <w:color w:val="000000" w:themeColor="text1"/>
          <w:kern w:val="0"/>
          <w:sz w:val="32"/>
          <w:szCs w:val="32"/>
          <w14:textFill>
            <w14:solidFill>
              <w14:schemeClr w14:val="tx1"/>
            </w14:solidFill>
          </w14:textFill>
        </w:rPr>
        <w:t>86</w:t>
      </w:r>
      <w:r>
        <w:rPr>
          <w:rFonts w:ascii="仿宋_GB2312" w:hAnsi="Times New Roman" w:eastAsia="仿宋_GB2312" w:cs="Times New Roman"/>
          <w:color w:val="000000" w:themeColor="text1"/>
          <w:kern w:val="0"/>
          <w:sz w:val="32"/>
          <w:szCs w:val="32"/>
          <w:lang w:val="zh-CN"/>
          <w14:textFill>
            <w14:solidFill>
              <w14:schemeClr w14:val="tx1"/>
            </w14:solidFill>
          </w14:textFill>
        </w:rPr>
        <w:t>号</w:t>
      </w:r>
      <w:r>
        <w:rPr>
          <w:rFonts w:hint="eastAsia" w:ascii="仿宋_GB2312" w:hAnsi="Times New Roman" w:eastAsia="仿宋_GB2312" w:cs="Times New Roman"/>
          <w:color w:val="000000" w:themeColor="text1"/>
          <w:kern w:val="0"/>
          <w:sz w:val="32"/>
          <w:szCs w:val="32"/>
          <w:lang w:val="zh-CN"/>
          <w14:textFill>
            <w14:solidFill>
              <w14:schemeClr w14:val="tx1"/>
            </w14:solidFill>
          </w14:textFill>
        </w:rPr>
        <w:t>）等文件要求，特制定本办法（试行）。</w:t>
      </w:r>
    </w:p>
    <w:p>
      <w:pPr>
        <w:autoSpaceDE w:val="0"/>
        <w:autoSpaceDN w:val="0"/>
        <w:adjustRightInd w:val="0"/>
        <w:snapToGrid w:val="0"/>
        <w:spacing w:line="580" w:lineRule="exact"/>
        <w:ind w:firstLine="640" w:firstLineChars="200"/>
        <w:rPr>
          <w:rFonts w:ascii="仿宋_GB2312" w:hAnsi="Times New Roman" w:eastAsia="仿宋_GB2312" w:cs="Times New Roman"/>
          <w:color w:val="000000" w:themeColor="text1"/>
          <w:kern w:val="0"/>
          <w:sz w:val="32"/>
          <w:szCs w:val="32"/>
          <w:lang w:val="zh-CN"/>
          <w14:textFill>
            <w14:solidFill>
              <w14:schemeClr w14:val="tx1"/>
            </w14:solidFill>
          </w14:textFill>
        </w:rPr>
      </w:pPr>
      <w:r>
        <w:rPr>
          <w:rFonts w:hint="eastAsia" w:ascii="楷体_GB2312" w:hAnsi="Times New Roman" w:eastAsia="楷体_GB2312" w:cs="Times New Roman"/>
          <w:color w:val="000000" w:themeColor="text1"/>
          <w:kern w:val="0"/>
          <w:sz w:val="32"/>
          <w:szCs w:val="32"/>
          <w:lang w:val="zh-CN"/>
          <w14:textFill>
            <w14:solidFill>
              <w14:schemeClr w14:val="tx1"/>
            </w14:solidFill>
          </w14:textFill>
        </w:rPr>
        <w:t>第二条</w:t>
      </w:r>
      <w:r>
        <w:rPr>
          <w:rFonts w:hint="eastAsia" w:ascii="仿宋_GB2312" w:hAnsi="Times New Roman" w:eastAsia="仿宋_GB2312" w:cs="Times New Roman"/>
          <w:color w:val="000000" w:themeColor="text1"/>
          <w:kern w:val="0"/>
          <w:sz w:val="32"/>
          <w:szCs w:val="32"/>
          <w:lang w:val="zh-CN"/>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星级绿色工厂评价工作遵循自主自愿、择优确定和公开、公平、公正的原则。</w:t>
      </w:r>
    </w:p>
    <w:p>
      <w:pPr>
        <w:adjustRightInd w:val="0"/>
        <w:snapToGrid w:val="0"/>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楷体_GB2312" w:hAnsi="Times New Roman" w:eastAsia="楷体_GB2312" w:cs="Times New Roman"/>
          <w:color w:val="000000" w:themeColor="text1"/>
          <w:kern w:val="0"/>
          <w:sz w:val="32"/>
          <w:szCs w:val="32"/>
          <w:lang w:val="zh-CN"/>
          <w14:textFill>
            <w14:solidFill>
              <w14:schemeClr w14:val="tx1"/>
            </w14:solidFill>
          </w14:textFill>
        </w:rPr>
        <w:t>第三条</w:t>
      </w:r>
      <w:r>
        <w:rPr>
          <w:rFonts w:hint="eastAsia" w:ascii="仿宋_GB2312" w:eastAsia="仿宋_GB2312"/>
          <w:color w:val="000000" w:themeColor="text1"/>
          <w:sz w:val="32"/>
          <w:szCs w:val="32"/>
          <w14:textFill>
            <w14:solidFill>
              <w14:schemeClr w14:val="tx1"/>
            </w14:solidFill>
          </w14:textFill>
        </w:rPr>
        <w:t xml:space="preserve">  </w:t>
      </w:r>
      <w:r>
        <w:rPr>
          <w:rFonts w:hint="eastAsia" w:ascii="仿宋_GB2312" w:hAnsi="Times New Roman" w:eastAsia="仿宋_GB2312" w:cs="Times New Roman"/>
          <w:color w:val="000000" w:themeColor="text1"/>
          <w:kern w:val="0"/>
          <w:sz w:val="32"/>
          <w:szCs w:val="32"/>
          <w:lang w:val="zh-CN"/>
          <w14:textFill>
            <w14:solidFill>
              <w14:schemeClr w14:val="tx1"/>
            </w14:solidFill>
          </w14:textFill>
        </w:rPr>
        <w:t>按照用地集约化、原料无害化、生产洁净化、废物资源化、能源低碳化要求，分层分级开展星级绿色工厂评价。</w:t>
      </w:r>
    </w:p>
    <w:p>
      <w:pPr>
        <w:adjustRightInd w:val="0"/>
        <w:snapToGrid w:val="0"/>
        <w:spacing w:line="580" w:lineRule="exact"/>
        <w:ind w:firstLine="640" w:firstLineChars="200"/>
        <w:rPr>
          <w:rFonts w:ascii="仿宋_GB2312" w:hAnsi="宋体" w:eastAsia="仿宋_GB2312" w:cs="仿宋_GB2312"/>
          <w:bCs/>
          <w:color w:val="FF0000"/>
          <w:kern w:val="0"/>
          <w:sz w:val="32"/>
          <w:szCs w:val="32"/>
        </w:rPr>
      </w:pPr>
      <w:r>
        <w:rPr>
          <w:rFonts w:hint="eastAsia" w:ascii="楷体_GB2312" w:hAnsi="Times New Roman" w:eastAsia="楷体_GB2312" w:cs="Times New Roman"/>
          <w:color w:val="000000" w:themeColor="text1"/>
          <w:kern w:val="0"/>
          <w:sz w:val="32"/>
          <w:szCs w:val="32"/>
          <w:lang w:val="zh-CN"/>
          <w14:textFill>
            <w14:solidFill>
              <w14:schemeClr w14:val="tx1"/>
            </w14:solidFill>
          </w14:textFill>
        </w:rPr>
        <w:t>第四条</w:t>
      </w:r>
      <w:r>
        <w:rPr>
          <w:rFonts w:hint="eastAsia" w:ascii="仿宋_GB2312" w:eastAsia="仿宋_GB2312"/>
          <w:color w:val="000000" w:themeColor="text1"/>
          <w:sz w:val="32"/>
          <w:szCs w:val="32"/>
          <w14:textFill>
            <w14:solidFill>
              <w14:schemeClr w14:val="tx1"/>
            </w14:solidFill>
          </w14:textFill>
        </w:rPr>
        <w:t xml:space="preserve">  根据企业绿色化发展程度，将绿色工厂划分为</w:t>
      </w:r>
      <w:r>
        <w:rPr>
          <w:rFonts w:hint="eastAsia" w:ascii="仿宋_GB2312" w:eastAsia="仿宋_GB2312"/>
          <w:color w:val="FF0000"/>
          <w:sz w:val="32"/>
          <w:szCs w:val="32"/>
        </w:rPr>
        <w:t>三星、四星、五星</w:t>
      </w:r>
      <w:r>
        <w:rPr>
          <w:rFonts w:hint="eastAsia" w:ascii="仿宋_GB2312" w:eastAsia="仿宋_GB2312"/>
          <w:color w:val="000000" w:themeColor="text1"/>
          <w:sz w:val="32"/>
          <w:szCs w:val="32"/>
          <w14:textFill>
            <w14:solidFill>
              <w14:schemeClr w14:val="tx1"/>
            </w14:solidFill>
          </w14:textFill>
        </w:rPr>
        <w:t>3个评价等级,并建立绿色工厂培育库。</w:t>
      </w:r>
      <w:r>
        <w:rPr>
          <w:rFonts w:hint="eastAsia" w:ascii="仿宋_GB2312" w:eastAsia="仿宋_GB2312"/>
          <w:color w:val="FF0000"/>
          <w:sz w:val="32"/>
          <w:szCs w:val="32"/>
        </w:rPr>
        <w:t>三星级为区县（市）级绿色工厂，四星级为市级绿色工厂，五星级为省级、国家级绿色工厂。</w:t>
      </w:r>
    </w:p>
    <w:p>
      <w:pPr>
        <w:adjustRightInd w:val="0"/>
        <w:snapToGrid w:val="0"/>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楷体_GB2312" w:hAnsi="Times New Roman" w:eastAsia="楷体_GB2312" w:cs="Times New Roman"/>
          <w:color w:val="000000" w:themeColor="text1"/>
          <w:kern w:val="0"/>
          <w:sz w:val="32"/>
          <w:szCs w:val="32"/>
          <w:lang w:val="zh-CN"/>
          <w14:textFill>
            <w14:solidFill>
              <w14:schemeClr w14:val="tx1"/>
            </w14:solidFill>
          </w14:textFill>
        </w:rPr>
        <w:t>第五条</w:t>
      </w:r>
      <w:r>
        <w:rPr>
          <w:rFonts w:hint="eastAsia"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FF0000"/>
          <w:sz w:val="32"/>
          <w:szCs w:val="32"/>
        </w:rPr>
        <w:t>区县（市）经信部门负责建立绿色工厂培育库，开展三星级绿色工厂评定和四星、五星级绿色工厂初审推荐</w:t>
      </w:r>
      <w:r>
        <w:rPr>
          <w:rFonts w:hint="eastAsia" w:ascii="仿宋_GB2312" w:eastAsia="仿宋_GB2312"/>
          <w:color w:val="000000" w:themeColor="text1"/>
          <w:sz w:val="32"/>
          <w:szCs w:val="32"/>
          <w14:textFill>
            <w14:solidFill>
              <w14:schemeClr w14:val="tx1"/>
            </w14:solidFill>
          </w14:textFill>
        </w:rPr>
        <w:t>。市经信局负责四星级绿色工厂评定和五星级绿色工厂推荐。</w:t>
      </w:r>
    </w:p>
    <w:p>
      <w:pPr>
        <w:autoSpaceDE w:val="0"/>
        <w:autoSpaceDN w:val="0"/>
        <w:adjustRightInd w:val="0"/>
        <w:snapToGrid w:val="0"/>
        <w:spacing w:line="580" w:lineRule="exact"/>
        <w:jc w:val="center"/>
        <w:rPr>
          <w:rFonts w:ascii="仿宋_GB2312" w:hAnsi="Times New Roman" w:eastAsia="仿宋_GB2312" w:cs="Times New Roman"/>
          <w:b/>
          <w:color w:val="000000" w:themeColor="text1"/>
          <w:kern w:val="0"/>
          <w:sz w:val="32"/>
          <w:szCs w:val="32"/>
          <w14:textFill>
            <w14:solidFill>
              <w14:schemeClr w14:val="tx1"/>
            </w14:solidFill>
          </w14:textFill>
        </w:rPr>
      </w:pPr>
      <w:r>
        <w:rPr>
          <w:rFonts w:hint="eastAsia" w:ascii="黑体" w:hAnsi="黑体" w:eastAsia="黑体" w:cs="Times New Roman"/>
          <w:color w:val="000000" w:themeColor="text1"/>
          <w:kern w:val="0"/>
          <w:sz w:val="32"/>
          <w:szCs w:val="32"/>
          <w:lang w:val="zh-CN"/>
          <w14:textFill>
            <w14:solidFill>
              <w14:schemeClr w14:val="tx1"/>
            </w14:solidFill>
          </w14:textFill>
        </w:rPr>
        <w:t>第二章  基本条件</w:t>
      </w:r>
    </w:p>
    <w:p>
      <w:pPr>
        <w:autoSpaceDE w:val="0"/>
        <w:autoSpaceDN w:val="0"/>
        <w:adjustRightInd w:val="0"/>
        <w:snapToGrid w:val="0"/>
        <w:spacing w:line="580" w:lineRule="exact"/>
        <w:ind w:firstLine="640" w:firstLineChars="200"/>
        <w:rPr>
          <w:rFonts w:ascii="仿宋_GB2312" w:hAnsi="Times New Roman" w:eastAsia="仿宋_GB2312" w:cs="Times New Roman"/>
          <w:color w:val="FF0000"/>
          <w:kern w:val="0"/>
          <w:sz w:val="32"/>
          <w:szCs w:val="32"/>
          <w:lang w:val="zh-CN"/>
        </w:rPr>
      </w:pPr>
      <w:r>
        <w:rPr>
          <w:rFonts w:hint="eastAsia" w:ascii="楷体_GB2312" w:hAnsi="Times New Roman" w:eastAsia="楷体_GB2312" w:cs="Times New Roman"/>
          <w:color w:val="000000" w:themeColor="text1"/>
          <w:kern w:val="0"/>
          <w:sz w:val="32"/>
          <w:szCs w:val="32"/>
          <w:lang w:val="zh-CN"/>
          <w14:textFill>
            <w14:solidFill>
              <w14:schemeClr w14:val="tx1"/>
            </w14:solidFill>
          </w14:textFill>
        </w:rPr>
        <w:t>第六条</w:t>
      </w:r>
      <w:r>
        <w:rPr>
          <w:rFonts w:hint="eastAsia" w:ascii="仿宋_GB2312" w:hAnsi="Times New Roman" w:eastAsia="仿宋_GB2312" w:cs="Times New Roman"/>
          <w:color w:val="000000" w:themeColor="text1"/>
          <w:kern w:val="0"/>
          <w:sz w:val="32"/>
          <w:szCs w:val="32"/>
          <w:lang w:val="zh-CN"/>
          <w14:textFill>
            <w14:solidFill>
              <w14:schemeClr w14:val="tx1"/>
            </w14:solidFill>
          </w14:textFill>
        </w:rPr>
        <w:t xml:space="preserve">  </w:t>
      </w:r>
      <w:r>
        <w:rPr>
          <w:rFonts w:hint="eastAsia" w:ascii="仿宋_GB2312" w:hAnsi="Times New Roman" w:eastAsia="仿宋_GB2312" w:cs="Times New Roman"/>
          <w:color w:val="FF0000"/>
          <w:kern w:val="0"/>
          <w:sz w:val="32"/>
          <w:szCs w:val="32"/>
          <w:lang w:val="zh-CN"/>
        </w:rPr>
        <w:t>申报绿色工厂应具备以下基本条件：</w:t>
      </w:r>
    </w:p>
    <w:p>
      <w:pPr>
        <w:autoSpaceDE w:val="0"/>
        <w:autoSpaceDN w:val="0"/>
        <w:adjustRightInd w:val="0"/>
        <w:snapToGrid w:val="0"/>
        <w:spacing w:line="580" w:lineRule="exact"/>
        <w:ind w:firstLine="640" w:firstLineChars="200"/>
        <w:rPr>
          <w:rFonts w:ascii="仿宋_GB2312" w:hAnsi="Times New Roman" w:eastAsia="仿宋_GB2312" w:cs="Times New Roman"/>
          <w:color w:val="000000" w:themeColor="text1"/>
          <w:kern w:val="0"/>
          <w:sz w:val="32"/>
          <w:szCs w:val="32"/>
          <w14:textFill>
            <w14:solidFill>
              <w14:schemeClr w14:val="tx1"/>
            </w14:solidFill>
          </w14:textFill>
        </w:rPr>
      </w:pPr>
      <w:r>
        <w:rPr>
          <w:rFonts w:hint="eastAsia" w:ascii="仿宋_GB2312" w:hAnsi="Times New Roman" w:eastAsia="仿宋_GB2312" w:cs="Times New Roman"/>
          <w:color w:val="000000" w:themeColor="text1"/>
          <w:kern w:val="0"/>
          <w:sz w:val="32"/>
          <w:szCs w:val="32"/>
          <w14:textFill>
            <w14:solidFill>
              <w14:schemeClr w14:val="tx1"/>
            </w14:solidFill>
          </w14:textFill>
        </w:rPr>
        <w:t>1.申报主体为在宁波市域内注册的独立法人企业。</w:t>
      </w:r>
    </w:p>
    <w:p>
      <w:pPr>
        <w:autoSpaceDE w:val="0"/>
        <w:autoSpaceDN w:val="0"/>
        <w:adjustRightInd w:val="0"/>
        <w:snapToGrid w:val="0"/>
        <w:spacing w:line="580" w:lineRule="exact"/>
        <w:ind w:firstLine="640" w:firstLineChars="200"/>
        <w:rPr>
          <w:rFonts w:ascii="仿宋_GB2312" w:hAnsi="Times New Roman" w:eastAsia="仿宋_GB2312" w:cs="Times New Roman"/>
          <w:color w:val="FF0000"/>
          <w:kern w:val="0"/>
          <w:sz w:val="32"/>
          <w:szCs w:val="32"/>
          <w:lang w:val="zh-CN"/>
        </w:rPr>
      </w:pPr>
      <w:r>
        <w:rPr>
          <w:rFonts w:hint="eastAsia" w:ascii="仿宋_GB2312" w:hAnsi="Times New Roman" w:eastAsia="仿宋_GB2312" w:cs="Times New Roman"/>
          <w:color w:val="000000" w:themeColor="text1"/>
          <w:kern w:val="0"/>
          <w:sz w:val="32"/>
          <w:szCs w:val="32"/>
          <w14:textFill>
            <w14:solidFill>
              <w14:schemeClr w14:val="tx1"/>
            </w14:solidFill>
          </w14:textFill>
        </w:rPr>
        <w:t>2</w:t>
      </w:r>
      <w:r>
        <w:rPr>
          <w:rFonts w:hint="eastAsia" w:ascii="仿宋_GB2312" w:hAnsi="Times New Roman" w:eastAsia="仿宋_GB2312" w:cs="Times New Roman"/>
          <w:color w:val="000000" w:themeColor="text1"/>
          <w:kern w:val="0"/>
          <w:sz w:val="32"/>
          <w:szCs w:val="32"/>
          <w:lang w:val="zh-CN"/>
          <w14:textFill>
            <w14:solidFill>
              <w14:schemeClr w14:val="tx1"/>
            </w14:solidFill>
          </w14:textFill>
        </w:rPr>
        <w:t>.企业应依法设立，在建设和生产过程中应遵守有关法律、法规、政策和标准；</w:t>
      </w:r>
      <w:r>
        <w:rPr>
          <w:rFonts w:hint="eastAsia" w:ascii="仿宋_GB2312" w:hAnsi="Times New Roman" w:eastAsia="仿宋_GB2312" w:cs="Times New Roman"/>
          <w:color w:val="FF0000"/>
          <w:kern w:val="0"/>
          <w:sz w:val="32"/>
          <w:szCs w:val="32"/>
          <w:lang w:val="zh-CN"/>
        </w:rPr>
        <w:t>近三年（包括成立不足三年）无重大安全、环保、质量等事故。</w:t>
      </w:r>
    </w:p>
    <w:p>
      <w:pPr>
        <w:adjustRightInd w:val="0"/>
        <w:snapToGrid w:val="0"/>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3.企业重视绿色发展，设有绿色工厂管理机构，有开展绿色工厂建设的计划、目标和实施方案，开展绿色制造相关知识的宣传和培训。</w:t>
      </w:r>
    </w:p>
    <w:p>
      <w:pPr>
        <w:adjustRightInd w:val="0"/>
        <w:snapToGrid w:val="0"/>
        <w:spacing w:line="58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4.企业有质量管理、职业健康安全管理、环境管理和能源管理等相关管理制度。</w:t>
      </w:r>
    </w:p>
    <w:p>
      <w:pPr>
        <w:adjustRightInd w:val="0"/>
        <w:snapToGrid w:val="0"/>
        <w:spacing w:line="580" w:lineRule="exact"/>
        <w:ind w:firstLine="640" w:firstLineChars="200"/>
        <w:rPr>
          <w:rFonts w:ascii="仿宋_GB2312" w:eastAsia="仿宋_GB2312"/>
          <w:color w:val="000000" w:themeColor="text1"/>
          <w:sz w:val="32"/>
          <w:szCs w:val="32"/>
          <w14:textFill>
            <w14:solidFill>
              <w14:schemeClr w14:val="tx1"/>
            </w14:solidFill>
          </w14:textFill>
        </w:rPr>
      </w:pPr>
    </w:p>
    <w:p>
      <w:pPr>
        <w:autoSpaceDE w:val="0"/>
        <w:autoSpaceDN w:val="0"/>
        <w:adjustRightInd w:val="0"/>
        <w:snapToGrid w:val="0"/>
        <w:spacing w:line="580" w:lineRule="exact"/>
        <w:jc w:val="center"/>
        <w:rPr>
          <w:rFonts w:ascii="仿宋_GB2312" w:hAnsi="黑体" w:eastAsia="仿宋_GB2312"/>
          <w:color w:val="000000" w:themeColor="text1"/>
          <w:sz w:val="32"/>
          <w:szCs w:val="32"/>
          <w14:textFill>
            <w14:solidFill>
              <w14:schemeClr w14:val="tx1"/>
            </w14:solidFill>
          </w14:textFill>
        </w:rPr>
      </w:pPr>
      <w:r>
        <w:rPr>
          <w:rFonts w:hint="eastAsia" w:ascii="黑体" w:hAnsi="黑体" w:eastAsia="黑体" w:cs="Times New Roman"/>
          <w:color w:val="000000" w:themeColor="text1"/>
          <w:kern w:val="0"/>
          <w:sz w:val="32"/>
          <w:szCs w:val="32"/>
          <w:lang w:val="zh-CN"/>
          <w14:textFill>
            <w14:solidFill>
              <w14:schemeClr w14:val="tx1"/>
            </w14:solidFill>
          </w14:textFill>
        </w:rPr>
        <w:t>第三章  评价程序和要求</w:t>
      </w:r>
    </w:p>
    <w:p>
      <w:pPr>
        <w:adjustRightInd w:val="0"/>
        <w:snapToGrid w:val="0"/>
        <w:spacing w:line="580" w:lineRule="exact"/>
        <w:ind w:firstLine="640" w:firstLineChars="200"/>
        <w:rPr>
          <w:rFonts w:ascii="仿宋_GB2312" w:hAnsi="Times New Roman" w:eastAsia="仿宋_GB2312" w:cs="Times New Roman"/>
          <w:color w:val="000000" w:themeColor="text1"/>
          <w:kern w:val="0"/>
          <w:sz w:val="32"/>
          <w:szCs w:val="32"/>
          <w14:textFill>
            <w14:solidFill>
              <w14:schemeClr w14:val="tx1"/>
            </w14:solidFill>
          </w14:textFill>
        </w:rPr>
      </w:pPr>
      <w:r>
        <w:rPr>
          <w:rFonts w:hint="eastAsia" w:ascii="楷体_GB2312" w:hAnsi="Times New Roman" w:eastAsia="楷体_GB2312" w:cs="Times New Roman"/>
          <w:color w:val="000000" w:themeColor="text1"/>
          <w:kern w:val="0"/>
          <w:sz w:val="32"/>
          <w:szCs w:val="32"/>
          <w:lang w:val="zh-CN"/>
          <w14:textFill>
            <w14:solidFill>
              <w14:schemeClr w14:val="tx1"/>
            </w14:solidFill>
          </w14:textFill>
        </w:rPr>
        <w:t>第七条</w:t>
      </w:r>
      <w:r>
        <w:rPr>
          <w:rFonts w:hint="eastAsia" w:ascii="仿宋_GB2312" w:hAnsi="Times New Roman" w:eastAsia="仿宋_GB2312" w:cs="Times New Roman"/>
          <w:color w:val="000000" w:themeColor="text1"/>
          <w:kern w:val="0"/>
          <w:sz w:val="32"/>
          <w:szCs w:val="32"/>
          <w:lang w:val="zh-CN"/>
          <w14:textFill>
            <w14:solidFill>
              <w14:schemeClr w14:val="tx1"/>
            </w14:solidFill>
          </w14:textFill>
        </w:rPr>
        <w:t xml:space="preserve">  绿色工厂按星级提升。</w:t>
      </w:r>
      <w:r>
        <w:rPr>
          <w:rFonts w:hint="eastAsia" w:ascii="仿宋_GB2312" w:hAnsi="Times New Roman" w:eastAsia="仿宋_GB2312" w:cs="Times New Roman"/>
          <w:color w:val="FF0000"/>
          <w:kern w:val="0"/>
          <w:sz w:val="32"/>
          <w:szCs w:val="32"/>
          <w:lang w:val="zh-CN"/>
        </w:rPr>
        <w:t>三星、四星级绿色工厂评价依据为</w:t>
      </w:r>
      <w:r>
        <w:rPr>
          <w:rFonts w:hint="eastAsia" w:ascii="仿宋_GB2312" w:eastAsia="仿宋_GB2312"/>
          <w:color w:val="FF0000"/>
          <w:sz w:val="32"/>
          <w:szCs w:val="32"/>
        </w:rPr>
        <w:t>《宁波市星级绿色工厂评价导则》</w:t>
      </w:r>
      <w:r>
        <w:rPr>
          <w:rFonts w:hint="eastAsia" w:ascii="仿宋_GB2312" w:eastAsia="仿宋_GB2312"/>
          <w:color w:val="000000" w:themeColor="text1"/>
          <w:sz w:val="32"/>
          <w:szCs w:val="32"/>
          <w14:textFill>
            <w14:solidFill>
              <w14:schemeClr w14:val="tx1"/>
            </w14:solidFill>
          </w14:textFill>
        </w:rPr>
        <w:t>。五星级绿色工厂为省级、国家级绿色工厂，评价依据为《绿色工厂评价通则》（GB/T36132-2018）以及工信部和浙江省下发文件中绿色工厂评价有关要求。</w:t>
      </w:r>
    </w:p>
    <w:p>
      <w:pPr>
        <w:autoSpaceDE w:val="0"/>
        <w:autoSpaceDN w:val="0"/>
        <w:adjustRightInd w:val="0"/>
        <w:snapToGrid w:val="0"/>
        <w:spacing w:line="580" w:lineRule="exact"/>
        <w:ind w:firstLine="640" w:firstLineChars="200"/>
        <w:rPr>
          <w:rFonts w:ascii="仿宋_GB2312" w:eastAsia="仿宋_GB2312"/>
          <w:color w:val="auto"/>
          <w:sz w:val="32"/>
          <w:szCs w:val="32"/>
        </w:rPr>
      </w:pPr>
      <w:r>
        <w:rPr>
          <w:rFonts w:hint="eastAsia" w:ascii="楷体_GB2312" w:hAnsi="Times New Roman" w:eastAsia="楷体_GB2312" w:cs="Times New Roman"/>
          <w:color w:val="000000" w:themeColor="text1"/>
          <w:kern w:val="0"/>
          <w:sz w:val="32"/>
          <w:szCs w:val="32"/>
          <w:lang w:val="zh-CN"/>
          <w14:textFill>
            <w14:solidFill>
              <w14:schemeClr w14:val="tx1"/>
            </w14:solidFill>
          </w14:textFill>
        </w:rPr>
        <w:t>第八条</w:t>
      </w:r>
      <w:r>
        <w:rPr>
          <w:rFonts w:hint="eastAsia" w:ascii="仿宋_GB2312" w:eastAsia="仿宋_GB2312"/>
          <w:bCs/>
          <w:color w:val="000000" w:themeColor="text1"/>
          <w:sz w:val="32"/>
          <w:szCs w:val="32"/>
          <w14:textFill>
            <w14:solidFill>
              <w14:schemeClr w14:val="tx1"/>
            </w14:solidFill>
          </w14:textFill>
        </w:rPr>
        <w:t xml:space="preserve"> </w:t>
      </w:r>
      <w:r>
        <w:rPr>
          <w:rFonts w:hint="eastAsia" w:ascii="仿宋_GB2312" w:eastAsia="仿宋_GB2312"/>
          <w:bCs/>
          <w:color w:val="FF0000"/>
          <w:sz w:val="32"/>
          <w:szCs w:val="32"/>
        </w:rPr>
        <w:t xml:space="preserve"> </w:t>
      </w:r>
      <w:r>
        <w:rPr>
          <w:rFonts w:hint="eastAsia" w:ascii="仿宋_GB2312" w:eastAsia="仿宋_GB2312"/>
          <w:bCs/>
          <w:color w:val="auto"/>
          <w:sz w:val="32"/>
          <w:szCs w:val="32"/>
        </w:rPr>
        <w:t>绿色工厂培育库建设。</w:t>
      </w:r>
      <w:r>
        <w:rPr>
          <w:rFonts w:hint="eastAsia" w:ascii="仿宋_GB2312" w:eastAsia="仿宋_GB2312"/>
          <w:color w:val="auto"/>
          <w:sz w:val="32"/>
          <w:szCs w:val="32"/>
        </w:rPr>
        <w:t>企业对照绿色工厂基本条件，提交绿色工厂建设计划书，上报所属区县（市）经信部门，经审核后列入绿色工厂培育库。</w:t>
      </w:r>
    </w:p>
    <w:p>
      <w:pPr>
        <w:adjustRightInd w:val="0"/>
        <w:snapToGrid w:val="0"/>
        <w:spacing w:line="580" w:lineRule="exact"/>
        <w:ind w:firstLine="640" w:firstLineChars="200"/>
        <w:rPr>
          <w:rFonts w:ascii="仿宋_GB2312" w:eastAsia="仿宋_GB2312"/>
          <w:color w:val="FF0000"/>
          <w:sz w:val="32"/>
          <w:szCs w:val="32"/>
        </w:rPr>
      </w:pPr>
      <w:r>
        <w:rPr>
          <w:rFonts w:hint="eastAsia" w:ascii="楷体_GB2312" w:hAnsi="Times New Roman" w:eastAsia="楷体_GB2312" w:cs="Times New Roman"/>
          <w:color w:val="000000" w:themeColor="text1"/>
          <w:kern w:val="0"/>
          <w:sz w:val="32"/>
          <w:szCs w:val="32"/>
          <w:lang w:val="zh-CN"/>
          <w14:textFill>
            <w14:solidFill>
              <w14:schemeClr w14:val="tx1"/>
            </w14:solidFill>
          </w14:textFill>
        </w:rPr>
        <w:t>第九条</w:t>
      </w:r>
      <w:r>
        <w:rPr>
          <w:rFonts w:hint="eastAsia" w:ascii="仿宋_GB2312" w:eastAsia="仿宋_GB2312"/>
          <w:bCs/>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三星级绿色工厂评定。</w:t>
      </w:r>
      <w:r>
        <w:rPr>
          <w:rFonts w:hint="eastAsia" w:ascii="仿宋_GB2312" w:eastAsia="仿宋_GB2312"/>
          <w:color w:val="FF0000"/>
          <w:sz w:val="32"/>
          <w:szCs w:val="32"/>
        </w:rPr>
        <w:t>申报三星级绿色工厂，企业需根据《宁波市星级绿色工厂评价导则》开展自评，并上报《宁波市星级绿色工厂申报书》。区县（市）经信部门按相关标准组织审查和评定，综合评分75分以上认定为三星级绿色工厂，综合评分85分以上择优向市经信局推荐四星级绿色工厂。</w:t>
      </w:r>
    </w:p>
    <w:p>
      <w:pPr>
        <w:adjustRightInd w:val="0"/>
        <w:snapToGrid w:val="0"/>
        <w:spacing w:line="580" w:lineRule="exact"/>
        <w:ind w:firstLine="640" w:firstLineChars="200"/>
        <w:rPr>
          <w:rFonts w:ascii="仿宋_GB2312" w:eastAsia="仿宋_GB2312"/>
          <w:color w:val="FF0000"/>
          <w:sz w:val="32"/>
          <w:szCs w:val="32"/>
        </w:rPr>
      </w:pPr>
      <w:r>
        <w:rPr>
          <w:rFonts w:hint="eastAsia" w:ascii="仿宋_GB2312" w:eastAsia="仿宋_GB2312"/>
          <w:color w:val="FF0000"/>
          <w:sz w:val="32"/>
          <w:szCs w:val="32"/>
        </w:rPr>
        <w:t>近三年内通过清洁生产审核验收和市级节水型示范企业,可直接认定为三星级绿色工厂。</w:t>
      </w:r>
    </w:p>
    <w:p>
      <w:pPr>
        <w:adjustRightInd w:val="0"/>
        <w:snapToGrid w:val="0"/>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楷体_GB2312" w:hAnsi="Times New Roman" w:eastAsia="楷体_GB2312" w:cs="Times New Roman"/>
          <w:color w:val="000000" w:themeColor="text1"/>
          <w:kern w:val="0"/>
          <w:sz w:val="32"/>
          <w:szCs w:val="32"/>
          <w:lang w:val="zh-CN"/>
          <w14:textFill>
            <w14:solidFill>
              <w14:schemeClr w14:val="tx1"/>
            </w14:solidFill>
          </w14:textFill>
        </w:rPr>
        <w:t>第十条</w:t>
      </w:r>
      <w:r>
        <w:rPr>
          <w:rFonts w:hint="eastAsia" w:ascii="仿宋_GB2312" w:eastAsia="仿宋_GB2312"/>
          <w:bCs/>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四星级绿色工厂评定。市经信局组织对区县（市）推荐的四星级绿色工厂开展评估确认，评估确认采用书面材料审核和现场抽查相结合的方式，审核通过的可评定为四星级绿色工厂。原市级绿色工厂列入四星级绿色工厂名单。</w:t>
      </w:r>
    </w:p>
    <w:p>
      <w:pPr>
        <w:adjustRightInd w:val="0"/>
        <w:snapToGrid w:val="0"/>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楷体_GB2312" w:hAnsi="Times New Roman" w:eastAsia="楷体_GB2312" w:cs="Times New Roman"/>
          <w:color w:val="000000" w:themeColor="text1"/>
          <w:kern w:val="0"/>
          <w:sz w:val="32"/>
          <w:szCs w:val="32"/>
          <w:lang w:val="zh-CN"/>
          <w14:textFill>
            <w14:solidFill>
              <w14:schemeClr w14:val="tx1"/>
            </w14:solidFill>
          </w14:textFill>
        </w:rPr>
        <w:t>第十一条</w:t>
      </w:r>
      <w:r>
        <w:rPr>
          <w:rFonts w:hint="eastAsia" w:ascii="仿宋_GB2312" w:eastAsia="仿宋_GB2312"/>
          <w:bCs/>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五星级绿色工厂评定。五星级绿色工厂为列入省级、国家级绿色工厂名单的企业。申报省级、国家级绿色工厂，需经区县（市）经信部门从四星级绿色工厂名单中择优推荐。企业需委托有能力的第三方评价机构开展评价，编制《绿色工厂第三方评价报告》，并上报相关材料。市经信局组织相关专家，参照《绿色工厂评价通则》（GB/T36132-2018）以及工信部和浙江省下发文件中绿色工厂评价有关要求对申报的绿色工厂开展评审，根据综合评分择优推荐申报省级、国家级绿色工厂。</w:t>
      </w:r>
    </w:p>
    <w:p>
      <w:pPr>
        <w:adjustRightInd w:val="0"/>
        <w:snapToGrid w:val="0"/>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楷体_GB2312" w:hAnsi="Times New Roman" w:eastAsia="楷体_GB2312" w:cs="Times New Roman"/>
          <w:color w:val="000000" w:themeColor="text1"/>
          <w:kern w:val="0"/>
          <w:sz w:val="32"/>
          <w:szCs w:val="32"/>
          <w:lang w:val="zh-CN"/>
          <w14:textFill>
            <w14:solidFill>
              <w14:schemeClr w14:val="tx1"/>
            </w14:solidFill>
          </w14:textFill>
        </w:rPr>
        <w:t>第十二条</w:t>
      </w:r>
      <w:r>
        <w:rPr>
          <w:rFonts w:hint="eastAsia" w:ascii="仿宋_GB2312" w:eastAsia="仿宋_GB2312"/>
          <w:color w:val="000000" w:themeColor="text1"/>
          <w:sz w:val="32"/>
          <w:szCs w:val="32"/>
          <w14:textFill>
            <w14:solidFill>
              <w14:schemeClr w14:val="tx1"/>
            </w14:solidFill>
          </w14:textFill>
        </w:rPr>
        <w:t xml:space="preserve">  三星级绿色工厂名单由区县（市）经信部门发文公布，报市经信局备案并授予“宁波市三星级绿色工厂”称号，四星级绿色工厂名单由市经信局发文公布并授予“宁波市四星级绿色工厂”称号。</w:t>
      </w:r>
    </w:p>
    <w:p>
      <w:pPr>
        <w:adjustRightInd w:val="0"/>
        <w:snapToGrid w:val="0"/>
        <w:spacing w:line="58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楷体_GB2312" w:hAnsi="Times New Roman" w:eastAsia="楷体_GB2312" w:cs="Times New Roman"/>
          <w:color w:val="000000" w:themeColor="text1"/>
          <w:kern w:val="0"/>
          <w:sz w:val="32"/>
          <w:szCs w:val="32"/>
          <w:lang w:val="zh-CN"/>
          <w14:textFill>
            <w14:solidFill>
              <w14:schemeClr w14:val="tx1"/>
            </w14:solidFill>
          </w14:textFill>
        </w:rPr>
        <w:t>第十三条</w:t>
      </w:r>
      <w:r>
        <w:rPr>
          <w:rFonts w:hint="eastAsia"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FF0000"/>
          <w:sz w:val="32"/>
          <w:szCs w:val="32"/>
        </w:rPr>
        <w:t>发布星级绿色工厂名单前，需征求同级生态环境、应急管理、市场监管、能源等部门意见。</w:t>
      </w:r>
      <w:r>
        <w:rPr>
          <w:rFonts w:hint="eastAsia" w:ascii="仿宋_GB2312" w:eastAsia="仿宋_GB2312"/>
          <w:color w:val="000000" w:themeColor="text1"/>
          <w:sz w:val="32"/>
          <w:szCs w:val="32"/>
          <w14:textFill>
            <w14:solidFill>
              <w14:schemeClr w14:val="tx1"/>
            </w14:solidFill>
          </w14:textFill>
        </w:rPr>
        <w:t>对处在整改期或整改未完成的企业，待整改符合要求后再发布。</w:t>
      </w:r>
    </w:p>
    <w:p>
      <w:pPr>
        <w:adjustRightInd w:val="0"/>
        <w:snapToGrid w:val="0"/>
        <w:spacing w:line="580" w:lineRule="exact"/>
        <w:ind w:firstLine="640" w:firstLineChars="200"/>
        <w:rPr>
          <w:rFonts w:ascii="仿宋_GB2312" w:eastAsia="仿宋_GB2312"/>
          <w:color w:val="000000" w:themeColor="text1"/>
          <w:sz w:val="32"/>
          <w:szCs w:val="32"/>
          <w14:textFill>
            <w14:solidFill>
              <w14:schemeClr w14:val="tx1"/>
            </w14:solidFill>
          </w14:textFill>
        </w:rPr>
      </w:pPr>
    </w:p>
    <w:p>
      <w:pPr>
        <w:autoSpaceDE w:val="0"/>
        <w:autoSpaceDN w:val="0"/>
        <w:adjustRightInd w:val="0"/>
        <w:snapToGrid w:val="0"/>
        <w:spacing w:line="580" w:lineRule="exact"/>
        <w:jc w:val="center"/>
        <w:rPr>
          <w:rFonts w:ascii="黑体" w:hAnsi="黑体" w:eastAsia="黑体" w:cs="Times New Roman"/>
          <w:color w:val="000000" w:themeColor="text1"/>
          <w:kern w:val="0"/>
          <w:sz w:val="32"/>
          <w:szCs w:val="32"/>
          <w:lang w:val="zh-CN"/>
          <w14:textFill>
            <w14:solidFill>
              <w14:schemeClr w14:val="tx1"/>
            </w14:solidFill>
          </w14:textFill>
        </w:rPr>
      </w:pPr>
      <w:r>
        <w:rPr>
          <w:rFonts w:hint="eastAsia" w:ascii="黑体" w:hAnsi="黑体" w:eastAsia="黑体" w:cs="Times New Roman"/>
          <w:color w:val="000000" w:themeColor="text1"/>
          <w:kern w:val="0"/>
          <w:sz w:val="32"/>
          <w:szCs w:val="32"/>
          <w:lang w:val="zh-CN"/>
          <w14:textFill>
            <w14:solidFill>
              <w14:schemeClr w14:val="tx1"/>
            </w14:solidFill>
          </w14:textFill>
        </w:rPr>
        <w:t>第四章  监督管理</w:t>
      </w:r>
    </w:p>
    <w:p>
      <w:pPr>
        <w:adjustRightInd w:val="0"/>
        <w:snapToGrid w:val="0"/>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楷体_GB2312" w:hAnsi="Times New Roman" w:eastAsia="楷体_GB2312" w:cs="Times New Roman"/>
          <w:color w:val="000000" w:themeColor="text1"/>
          <w:kern w:val="0"/>
          <w:sz w:val="32"/>
          <w:szCs w:val="32"/>
          <w:lang w:val="zh-CN"/>
          <w14:textFill>
            <w14:solidFill>
              <w14:schemeClr w14:val="tx1"/>
            </w14:solidFill>
          </w14:textFill>
        </w:rPr>
        <w:t>第十四条</w:t>
      </w:r>
      <w:r>
        <w:rPr>
          <w:rFonts w:hint="eastAsia"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FF0000"/>
          <w:sz w:val="32"/>
          <w:szCs w:val="32"/>
        </w:rPr>
        <w:t>星级绿色工厂名单实施动态管理，原则上每五年组织一次复审。</w:t>
      </w:r>
      <w:r>
        <w:rPr>
          <w:rFonts w:hint="eastAsia" w:ascii="仿宋_GB2312" w:eastAsia="仿宋_GB2312"/>
          <w:color w:val="000000" w:themeColor="text1"/>
          <w:sz w:val="32"/>
          <w:szCs w:val="32"/>
          <w14:textFill>
            <w14:solidFill>
              <w14:schemeClr w14:val="tx1"/>
            </w14:solidFill>
          </w14:textFill>
        </w:rPr>
        <w:t>接受复审的绿色工厂须对近五年来建设管理和实际运行情况进行总结，并编制绿色工厂自评报告报当地经信部门初审。市经信局对星级绿色工厂开展不定期抽查，抽查可采用现场核验、资料报送等多种形式。</w:t>
      </w:r>
    </w:p>
    <w:p>
      <w:pPr>
        <w:adjustRightInd w:val="0"/>
        <w:snapToGrid w:val="0"/>
        <w:spacing w:line="580" w:lineRule="exact"/>
        <w:ind w:firstLine="640" w:firstLineChars="200"/>
        <w:rPr>
          <w:rFonts w:ascii="仿宋_GB2312" w:eastAsia="仿宋_GB2312"/>
          <w:color w:val="FF0000"/>
          <w:sz w:val="32"/>
          <w:szCs w:val="32"/>
        </w:rPr>
      </w:pPr>
      <w:r>
        <w:rPr>
          <w:rFonts w:hint="eastAsia" w:ascii="楷体_GB2312" w:hAnsi="Times New Roman" w:eastAsia="楷体_GB2312" w:cs="Times New Roman"/>
          <w:color w:val="000000" w:themeColor="text1"/>
          <w:kern w:val="0"/>
          <w:sz w:val="32"/>
          <w:szCs w:val="32"/>
          <w:lang w:val="zh-CN"/>
          <w14:textFill>
            <w14:solidFill>
              <w14:schemeClr w14:val="tx1"/>
            </w14:solidFill>
          </w14:textFill>
        </w:rPr>
        <w:t>第十五条</w:t>
      </w:r>
      <w:r>
        <w:rPr>
          <w:rFonts w:hint="eastAsia"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FF0000"/>
          <w:sz w:val="32"/>
          <w:szCs w:val="32"/>
        </w:rPr>
        <w:t>有下列情况之一的，撤销其星级绿色工厂资格：</w:t>
      </w:r>
    </w:p>
    <w:p>
      <w:pPr>
        <w:adjustRightInd w:val="0"/>
        <w:snapToGrid w:val="0"/>
        <w:spacing w:line="580" w:lineRule="exact"/>
        <w:ind w:firstLine="640" w:firstLineChars="200"/>
        <w:rPr>
          <w:rFonts w:ascii="仿宋_GB2312" w:eastAsia="仿宋_GB2312"/>
          <w:strike/>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1.发生重大生产安全和质量事故、突发环境污染事件，受到相关部门处罚的；</w:t>
      </w:r>
    </w:p>
    <w:p>
      <w:pPr>
        <w:adjustRightInd w:val="0"/>
        <w:snapToGrid w:val="0"/>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2.申报材料存在弄虚作假的；</w:t>
      </w:r>
    </w:p>
    <w:p>
      <w:pPr>
        <w:adjustRightInd w:val="0"/>
        <w:snapToGrid w:val="0"/>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3.未按规定参加复审或未通过复审的；</w:t>
      </w:r>
    </w:p>
    <w:p>
      <w:pPr>
        <w:adjustRightInd w:val="0"/>
        <w:snapToGrid w:val="0"/>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4.其他应予撤销资格的情形。</w:t>
      </w:r>
    </w:p>
    <w:p>
      <w:pPr>
        <w:adjustRightInd w:val="0"/>
        <w:snapToGrid w:val="0"/>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楷体_GB2312" w:hAnsi="Times New Roman" w:eastAsia="楷体_GB2312" w:cs="Times New Roman"/>
          <w:color w:val="000000" w:themeColor="text1"/>
          <w:kern w:val="0"/>
          <w:sz w:val="32"/>
          <w:szCs w:val="32"/>
          <w:lang w:val="zh-CN"/>
          <w14:textFill>
            <w14:solidFill>
              <w14:schemeClr w14:val="tx1"/>
            </w14:solidFill>
          </w14:textFill>
        </w:rPr>
        <w:t>第十六条</w:t>
      </w:r>
      <w:r>
        <w:rPr>
          <w:rFonts w:hint="eastAsia" w:ascii="仿宋_GB2312" w:eastAsia="仿宋_GB2312"/>
          <w:color w:val="000000" w:themeColor="text1"/>
          <w:sz w:val="32"/>
          <w:szCs w:val="32"/>
          <w14:textFill>
            <w14:solidFill>
              <w14:schemeClr w14:val="tx1"/>
            </w14:solidFill>
          </w14:textFill>
        </w:rPr>
        <w:t xml:space="preserve">  在星级绿色工厂评价或复审中，发现有弄虚作假等违规行为的，将相关的失信行为主体纳入黑名单。</w:t>
      </w:r>
    </w:p>
    <w:p>
      <w:pPr>
        <w:adjustRightInd w:val="0"/>
        <w:snapToGrid w:val="0"/>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楷体_GB2312" w:hAnsi="Times New Roman" w:eastAsia="楷体_GB2312" w:cs="Times New Roman"/>
          <w:color w:val="000000" w:themeColor="text1"/>
          <w:kern w:val="0"/>
          <w:sz w:val="32"/>
          <w:szCs w:val="32"/>
          <w:lang w:val="zh-CN"/>
          <w14:textFill>
            <w14:solidFill>
              <w14:schemeClr w14:val="tx1"/>
            </w14:solidFill>
          </w14:textFill>
        </w:rPr>
        <w:t>第十七条</w:t>
      </w:r>
      <w:r>
        <w:rPr>
          <w:rFonts w:hint="eastAsia"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FF0000"/>
          <w:sz w:val="32"/>
          <w:szCs w:val="32"/>
        </w:rPr>
        <w:t>星级绿色工厂发生更名，应在办理相关手续后30个工作日内申请名称变更。</w:t>
      </w:r>
      <w:r>
        <w:rPr>
          <w:rFonts w:hint="eastAsia" w:ascii="仿宋_GB2312" w:eastAsia="仿宋_GB2312"/>
          <w:color w:val="000000" w:themeColor="text1"/>
          <w:sz w:val="32"/>
          <w:szCs w:val="32"/>
          <w14:textFill>
            <w14:solidFill>
              <w14:schemeClr w14:val="tx1"/>
            </w14:solidFill>
          </w14:textFill>
        </w:rPr>
        <w:t>若发生重组等重大调整的应在办理相关手续后30个工作日内申请复审，复审合格后重新授予星级绿色工厂称号。</w:t>
      </w:r>
    </w:p>
    <w:p>
      <w:pPr>
        <w:adjustRightInd w:val="0"/>
        <w:snapToGrid w:val="0"/>
        <w:spacing w:line="58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楷体_GB2312" w:hAnsi="Times New Roman" w:eastAsia="楷体_GB2312" w:cs="Times New Roman"/>
          <w:color w:val="000000" w:themeColor="text1"/>
          <w:kern w:val="0"/>
          <w:sz w:val="32"/>
          <w:szCs w:val="32"/>
          <w:lang w:val="zh-CN"/>
          <w14:textFill>
            <w14:solidFill>
              <w14:schemeClr w14:val="tx1"/>
            </w14:solidFill>
          </w14:textFill>
        </w:rPr>
        <w:t>第十八条</w:t>
      </w:r>
      <w:r>
        <w:rPr>
          <w:rFonts w:hint="eastAsia" w:ascii="仿宋_GB2312" w:eastAsia="仿宋_GB2312"/>
          <w:color w:val="000000" w:themeColor="text1"/>
          <w:sz w:val="32"/>
          <w:szCs w:val="32"/>
          <w14:textFill>
            <w14:solidFill>
              <w14:schemeClr w14:val="tx1"/>
            </w14:solidFill>
          </w14:textFill>
        </w:rPr>
        <w:t xml:space="preserve">  区县（市）经信部门对变更名称和撤销的三星级绿色工厂发文公告；市经信局对变更名称和撤销的四星级及以上绿色工厂发文公告。</w:t>
      </w:r>
    </w:p>
    <w:p>
      <w:pPr>
        <w:adjustRightInd w:val="0"/>
        <w:snapToGrid w:val="0"/>
        <w:spacing w:line="580" w:lineRule="exact"/>
        <w:ind w:firstLine="640" w:firstLineChars="200"/>
        <w:rPr>
          <w:rFonts w:ascii="仿宋_GB2312" w:eastAsia="仿宋_GB2312"/>
          <w:color w:val="000000" w:themeColor="text1"/>
          <w:sz w:val="32"/>
          <w:szCs w:val="32"/>
          <w14:textFill>
            <w14:solidFill>
              <w14:schemeClr w14:val="tx1"/>
            </w14:solidFill>
          </w14:textFill>
        </w:rPr>
      </w:pPr>
    </w:p>
    <w:p>
      <w:pPr>
        <w:autoSpaceDE w:val="0"/>
        <w:autoSpaceDN w:val="0"/>
        <w:adjustRightInd w:val="0"/>
        <w:snapToGrid w:val="0"/>
        <w:spacing w:line="580" w:lineRule="exact"/>
        <w:jc w:val="center"/>
        <w:rPr>
          <w:rFonts w:ascii="黑体" w:hAnsi="黑体" w:eastAsia="黑体" w:cs="Times New Roman"/>
          <w:color w:val="000000" w:themeColor="text1"/>
          <w:kern w:val="0"/>
          <w:sz w:val="32"/>
          <w:szCs w:val="32"/>
          <w:lang w:val="zh-CN"/>
          <w14:textFill>
            <w14:solidFill>
              <w14:schemeClr w14:val="tx1"/>
            </w14:solidFill>
          </w14:textFill>
        </w:rPr>
      </w:pPr>
      <w:r>
        <w:rPr>
          <w:rFonts w:hint="eastAsia" w:ascii="黑体" w:hAnsi="黑体" w:eastAsia="黑体" w:cs="Times New Roman"/>
          <w:color w:val="000000" w:themeColor="text1"/>
          <w:kern w:val="0"/>
          <w:sz w:val="32"/>
          <w:szCs w:val="32"/>
          <w:lang w:val="zh-CN"/>
          <w14:textFill>
            <w14:solidFill>
              <w14:schemeClr w14:val="tx1"/>
            </w14:solidFill>
          </w14:textFill>
        </w:rPr>
        <w:t>第五章  附</w:t>
      </w:r>
      <w:r>
        <w:rPr>
          <w:rFonts w:hint="eastAsia" w:ascii="黑体" w:hAnsi="黑体" w:eastAsia="黑体" w:cs="Times New Roman"/>
          <w:color w:val="000000" w:themeColor="text1"/>
          <w:kern w:val="0"/>
          <w:sz w:val="32"/>
          <w:szCs w:val="32"/>
          <w14:textFill>
            <w14:solidFill>
              <w14:schemeClr w14:val="tx1"/>
            </w14:solidFill>
          </w14:textFill>
        </w:rPr>
        <w:t xml:space="preserve">  </w:t>
      </w:r>
      <w:r>
        <w:rPr>
          <w:rFonts w:hint="eastAsia" w:ascii="黑体" w:hAnsi="黑体" w:eastAsia="黑体" w:cs="Times New Roman"/>
          <w:color w:val="000000" w:themeColor="text1"/>
          <w:kern w:val="0"/>
          <w:sz w:val="32"/>
          <w:szCs w:val="32"/>
          <w:lang w:val="zh-CN"/>
          <w14:textFill>
            <w14:solidFill>
              <w14:schemeClr w14:val="tx1"/>
            </w14:solidFill>
          </w14:textFill>
        </w:rPr>
        <w:t>则</w:t>
      </w:r>
    </w:p>
    <w:p>
      <w:pPr>
        <w:adjustRightInd w:val="0"/>
        <w:snapToGrid w:val="0"/>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楷体_GB2312" w:hAnsi="Times New Roman" w:eastAsia="楷体_GB2312" w:cs="Times New Roman"/>
          <w:color w:val="000000" w:themeColor="text1"/>
          <w:kern w:val="0"/>
          <w:sz w:val="32"/>
          <w:szCs w:val="32"/>
          <w:lang w:val="zh-CN"/>
          <w14:textFill>
            <w14:solidFill>
              <w14:schemeClr w14:val="tx1"/>
            </w14:solidFill>
          </w14:textFill>
        </w:rPr>
        <w:t>第十九条</w:t>
      </w:r>
      <w:r>
        <w:rPr>
          <w:rFonts w:hint="eastAsia" w:ascii="仿宋_GB2312" w:eastAsia="仿宋_GB2312"/>
          <w:color w:val="000000" w:themeColor="text1"/>
          <w:sz w:val="32"/>
          <w:szCs w:val="32"/>
          <w14:textFill>
            <w14:solidFill>
              <w14:schemeClr w14:val="tx1"/>
            </w14:solidFill>
          </w14:textFill>
        </w:rPr>
        <w:t xml:space="preserve">  本办法由市经信局负责解释。</w:t>
      </w:r>
    </w:p>
    <w:p>
      <w:pPr>
        <w:adjustRightInd w:val="0"/>
        <w:snapToGrid w:val="0"/>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楷体_GB2312" w:hAnsi="Times New Roman" w:eastAsia="楷体_GB2312" w:cs="Times New Roman"/>
          <w:color w:val="000000" w:themeColor="text1"/>
          <w:kern w:val="0"/>
          <w:sz w:val="32"/>
          <w:szCs w:val="32"/>
          <w:lang w:val="zh-CN"/>
          <w14:textFill>
            <w14:solidFill>
              <w14:schemeClr w14:val="tx1"/>
            </w14:solidFill>
          </w14:textFill>
        </w:rPr>
        <w:t>第二十条</w:t>
      </w:r>
      <w:r>
        <w:rPr>
          <w:rFonts w:hint="eastAsia" w:ascii="仿宋_GB2312" w:eastAsia="仿宋_GB2312"/>
          <w:color w:val="000000" w:themeColor="text1"/>
          <w:sz w:val="32"/>
          <w:szCs w:val="32"/>
          <w14:textFill>
            <w14:solidFill>
              <w14:schemeClr w14:val="tx1"/>
            </w14:solidFill>
          </w14:textFill>
        </w:rPr>
        <w:t xml:space="preserve">  本办法自印发之日起施行。</w:t>
      </w:r>
    </w:p>
    <w:p>
      <w:pPr>
        <w:adjustRightInd w:val="0"/>
        <w:snapToGrid w:val="0"/>
        <w:spacing w:line="580" w:lineRule="exact"/>
        <w:ind w:firstLine="640" w:firstLineChars="200"/>
        <w:rPr>
          <w:rFonts w:ascii="仿宋_GB2312" w:eastAsia="仿宋_GB2312"/>
          <w:color w:val="000000" w:themeColor="text1"/>
          <w:sz w:val="32"/>
          <w:szCs w:val="32"/>
          <w14:textFill>
            <w14:solidFill>
              <w14:schemeClr w14:val="tx1"/>
            </w14:solidFill>
          </w14:textFill>
        </w:rPr>
      </w:pPr>
    </w:p>
    <w:p>
      <w:pPr>
        <w:adjustRightInd w:val="0"/>
        <w:snapToGrid w:val="0"/>
        <w:spacing w:line="58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附件：宁波市星级绿色工厂评价导则</w:t>
      </w:r>
    </w:p>
    <w:p>
      <w:pPr>
        <w:widowControl/>
        <w:spacing w:line="400" w:lineRule="exact"/>
        <w:jc w:val="left"/>
        <w:rPr>
          <w:rFonts w:hint="eastAsia" w:ascii="楷体_GB2312" w:hAnsi="仿宋" w:eastAsia="楷体_GB2312"/>
          <w:color w:val="000000" w:themeColor="text1"/>
          <w:sz w:val="24"/>
          <w:szCs w:val="24"/>
          <w14:textFill>
            <w14:solidFill>
              <w14:schemeClr w14:val="tx1"/>
            </w14:solidFill>
          </w14:textFill>
        </w:rPr>
      </w:pPr>
    </w:p>
    <w:p>
      <w:pPr>
        <w:widowControl/>
        <w:spacing w:line="400" w:lineRule="exact"/>
        <w:jc w:val="left"/>
        <w:rPr>
          <w:rFonts w:hint="eastAsia" w:ascii="楷体_GB2312" w:hAnsi="仿宋" w:eastAsia="楷体_GB2312"/>
          <w:color w:val="000000" w:themeColor="text1"/>
          <w:sz w:val="24"/>
          <w:szCs w:val="24"/>
          <w14:textFill>
            <w14:solidFill>
              <w14:schemeClr w14:val="tx1"/>
            </w14:solidFill>
          </w14:textFill>
        </w:rPr>
      </w:pPr>
    </w:p>
    <w:p>
      <w:pPr>
        <w:widowControl/>
        <w:spacing w:line="400" w:lineRule="exact"/>
        <w:jc w:val="left"/>
        <w:rPr>
          <w:rFonts w:hint="eastAsia" w:ascii="楷体_GB2312" w:hAnsi="仿宋" w:eastAsia="楷体_GB2312"/>
          <w:color w:val="000000" w:themeColor="text1"/>
          <w:sz w:val="24"/>
          <w:szCs w:val="24"/>
          <w14:textFill>
            <w14:solidFill>
              <w14:schemeClr w14:val="tx1"/>
            </w14:solidFill>
          </w14:textFill>
        </w:rPr>
      </w:pPr>
    </w:p>
    <w:p>
      <w:pPr>
        <w:widowControl/>
        <w:spacing w:line="400" w:lineRule="exact"/>
        <w:jc w:val="left"/>
        <w:rPr>
          <w:rFonts w:hint="eastAsia" w:ascii="楷体_GB2312" w:hAnsi="仿宋" w:eastAsia="楷体_GB2312"/>
          <w:color w:val="000000" w:themeColor="text1"/>
          <w:sz w:val="24"/>
          <w:szCs w:val="24"/>
          <w14:textFill>
            <w14:solidFill>
              <w14:schemeClr w14:val="tx1"/>
            </w14:solidFill>
          </w14:textFill>
        </w:rPr>
      </w:pPr>
    </w:p>
    <w:p>
      <w:pPr>
        <w:widowControl/>
        <w:spacing w:line="400" w:lineRule="exact"/>
        <w:jc w:val="left"/>
        <w:rPr>
          <w:rFonts w:hint="eastAsia" w:ascii="楷体_GB2312" w:hAnsi="仿宋" w:eastAsia="楷体_GB2312"/>
          <w:color w:val="000000" w:themeColor="text1"/>
          <w:sz w:val="24"/>
          <w:szCs w:val="24"/>
          <w14:textFill>
            <w14:solidFill>
              <w14:schemeClr w14:val="tx1"/>
            </w14:solidFill>
          </w14:textFill>
        </w:rPr>
      </w:pPr>
    </w:p>
    <w:p>
      <w:pPr>
        <w:widowControl/>
        <w:spacing w:line="400" w:lineRule="exact"/>
        <w:jc w:val="left"/>
        <w:rPr>
          <w:rFonts w:hint="eastAsia" w:ascii="楷体_GB2312" w:hAnsi="仿宋" w:eastAsia="楷体_GB2312"/>
          <w:color w:val="000000" w:themeColor="text1"/>
          <w:sz w:val="24"/>
          <w:szCs w:val="24"/>
          <w14:textFill>
            <w14:solidFill>
              <w14:schemeClr w14:val="tx1"/>
            </w14:solidFill>
          </w14:textFill>
        </w:rPr>
      </w:pPr>
    </w:p>
    <w:p>
      <w:pPr>
        <w:widowControl/>
        <w:spacing w:line="400" w:lineRule="exact"/>
        <w:jc w:val="left"/>
        <w:rPr>
          <w:rFonts w:hint="eastAsia" w:ascii="楷体_GB2312" w:hAnsi="仿宋" w:eastAsia="楷体_GB2312"/>
          <w:color w:val="000000" w:themeColor="text1"/>
          <w:sz w:val="24"/>
          <w:szCs w:val="24"/>
          <w14:textFill>
            <w14:solidFill>
              <w14:schemeClr w14:val="tx1"/>
            </w14:solidFill>
          </w14:textFill>
        </w:rPr>
      </w:pPr>
    </w:p>
    <w:p>
      <w:pPr>
        <w:widowControl/>
        <w:spacing w:line="400" w:lineRule="exact"/>
        <w:jc w:val="left"/>
        <w:rPr>
          <w:rFonts w:hint="eastAsia" w:ascii="楷体_GB2312" w:hAnsi="仿宋" w:eastAsia="楷体_GB2312"/>
          <w:color w:val="000000" w:themeColor="text1"/>
          <w:sz w:val="24"/>
          <w:szCs w:val="24"/>
          <w14:textFill>
            <w14:solidFill>
              <w14:schemeClr w14:val="tx1"/>
            </w14:solidFill>
          </w14:textFill>
        </w:rPr>
      </w:pPr>
    </w:p>
    <w:p>
      <w:pPr>
        <w:widowControl/>
        <w:spacing w:line="400" w:lineRule="exact"/>
        <w:jc w:val="left"/>
        <w:rPr>
          <w:rFonts w:hint="eastAsia" w:ascii="楷体_GB2312" w:hAnsi="仿宋" w:eastAsia="楷体_GB2312"/>
          <w:color w:val="000000" w:themeColor="text1"/>
          <w:sz w:val="24"/>
          <w:szCs w:val="24"/>
          <w14:textFill>
            <w14:solidFill>
              <w14:schemeClr w14:val="tx1"/>
            </w14:solidFill>
          </w14:textFill>
        </w:rPr>
      </w:pPr>
    </w:p>
    <w:p>
      <w:pPr>
        <w:widowControl/>
        <w:spacing w:line="400" w:lineRule="exact"/>
        <w:jc w:val="left"/>
        <w:rPr>
          <w:rFonts w:hint="eastAsia" w:ascii="楷体_GB2312" w:hAnsi="仿宋" w:eastAsia="楷体_GB2312"/>
          <w:color w:val="000000" w:themeColor="text1"/>
          <w:sz w:val="24"/>
          <w:szCs w:val="24"/>
          <w14:textFill>
            <w14:solidFill>
              <w14:schemeClr w14:val="tx1"/>
            </w14:solidFill>
          </w14:textFill>
        </w:rPr>
      </w:pPr>
    </w:p>
    <w:p>
      <w:pPr>
        <w:widowControl/>
        <w:spacing w:line="400" w:lineRule="exact"/>
        <w:jc w:val="left"/>
        <w:rPr>
          <w:rFonts w:hint="eastAsia" w:ascii="楷体_GB2312" w:hAnsi="仿宋" w:eastAsia="楷体_GB2312"/>
          <w:color w:val="000000" w:themeColor="text1"/>
          <w:sz w:val="24"/>
          <w:szCs w:val="24"/>
          <w14:textFill>
            <w14:solidFill>
              <w14:schemeClr w14:val="tx1"/>
            </w14:solidFill>
          </w14:textFill>
        </w:rPr>
      </w:pPr>
    </w:p>
    <w:p>
      <w:pPr>
        <w:widowControl/>
        <w:spacing w:line="400" w:lineRule="exact"/>
        <w:jc w:val="left"/>
        <w:rPr>
          <w:rFonts w:hint="eastAsia" w:ascii="楷体_GB2312" w:hAnsi="仿宋" w:eastAsia="楷体_GB2312"/>
          <w:color w:val="000000" w:themeColor="text1"/>
          <w:sz w:val="24"/>
          <w:szCs w:val="24"/>
          <w14:textFill>
            <w14:solidFill>
              <w14:schemeClr w14:val="tx1"/>
            </w14:solidFill>
          </w14:textFill>
        </w:rPr>
      </w:pPr>
    </w:p>
    <w:p>
      <w:pPr>
        <w:widowControl/>
        <w:spacing w:line="400" w:lineRule="exact"/>
        <w:jc w:val="left"/>
        <w:rPr>
          <w:rFonts w:hint="eastAsia" w:ascii="楷体_GB2312" w:hAnsi="仿宋" w:eastAsia="楷体_GB2312"/>
          <w:color w:val="000000" w:themeColor="text1"/>
          <w:sz w:val="24"/>
          <w:szCs w:val="24"/>
          <w14:textFill>
            <w14:solidFill>
              <w14:schemeClr w14:val="tx1"/>
            </w14:solidFill>
          </w14:textFill>
        </w:rPr>
      </w:pPr>
    </w:p>
    <w:p>
      <w:pPr>
        <w:widowControl/>
        <w:spacing w:line="400" w:lineRule="exact"/>
        <w:jc w:val="left"/>
        <w:rPr>
          <w:rFonts w:hint="eastAsia" w:ascii="楷体_GB2312" w:hAnsi="仿宋" w:eastAsia="楷体_GB2312"/>
          <w:color w:val="000000" w:themeColor="text1"/>
          <w:sz w:val="24"/>
          <w:szCs w:val="24"/>
          <w14:textFill>
            <w14:solidFill>
              <w14:schemeClr w14:val="tx1"/>
            </w14:solidFill>
          </w14:textFill>
        </w:rPr>
      </w:pPr>
    </w:p>
    <w:p>
      <w:pPr>
        <w:widowControl/>
        <w:spacing w:line="400" w:lineRule="exact"/>
        <w:jc w:val="left"/>
        <w:rPr>
          <w:rFonts w:hint="eastAsia" w:ascii="楷体_GB2312" w:hAnsi="仿宋" w:eastAsia="楷体_GB2312"/>
          <w:color w:val="000000" w:themeColor="text1"/>
          <w:sz w:val="24"/>
          <w:szCs w:val="24"/>
          <w14:textFill>
            <w14:solidFill>
              <w14:schemeClr w14:val="tx1"/>
            </w14:solidFill>
          </w14:textFill>
        </w:rPr>
      </w:pPr>
    </w:p>
    <w:p>
      <w:pPr>
        <w:widowControl/>
        <w:spacing w:line="400" w:lineRule="exact"/>
        <w:jc w:val="left"/>
        <w:rPr>
          <w:rFonts w:hint="eastAsia" w:ascii="楷体_GB2312" w:hAnsi="仿宋" w:eastAsia="楷体_GB2312"/>
          <w:color w:val="000000" w:themeColor="text1"/>
          <w:sz w:val="24"/>
          <w:szCs w:val="24"/>
          <w14:textFill>
            <w14:solidFill>
              <w14:schemeClr w14:val="tx1"/>
            </w14:solidFill>
          </w14:textFill>
        </w:rPr>
      </w:pPr>
    </w:p>
    <w:p>
      <w:pPr>
        <w:widowControl/>
        <w:spacing w:line="400" w:lineRule="exact"/>
        <w:jc w:val="left"/>
        <w:rPr>
          <w:rFonts w:hint="eastAsia" w:ascii="楷体_GB2312" w:hAnsi="仿宋" w:eastAsia="楷体_GB2312"/>
          <w:color w:val="000000" w:themeColor="text1"/>
          <w:sz w:val="24"/>
          <w:szCs w:val="24"/>
          <w14:textFill>
            <w14:solidFill>
              <w14:schemeClr w14:val="tx1"/>
            </w14:solidFill>
          </w14:textFill>
        </w:rPr>
      </w:pPr>
    </w:p>
    <w:p>
      <w:pPr>
        <w:widowControl/>
        <w:spacing w:line="400" w:lineRule="exact"/>
        <w:jc w:val="left"/>
        <w:rPr>
          <w:rFonts w:hint="eastAsia" w:ascii="楷体_GB2312" w:hAnsi="仿宋" w:eastAsia="楷体_GB2312"/>
          <w:color w:val="000000" w:themeColor="text1"/>
          <w:sz w:val="24"/>
          <w:szCs w:val="24"/>
          <w14:textFill>
            <w14:solidFill>
              <w14:schemeClr w14:val="tx1"/>
            </w14:solidFill>
          </w14:textFill>
        </w:rPr>
      </w:pPr>
    </w:p>
    <w:p>
      <w:pPr>
        <w:widowControl/>
        <w:spacing w:line="400" w:lineRule="exact"/>
        <w:jc w:val="left"/>
        <w:rPr>
          <w:rFonts w:hint="eastAsia" w:ascii="楷体_GB2312" w:hAnsi="仿宋" w:eastAsia="楷体_GB2312"/>
          <w:color w:val="000000" w:themeColor="text1"/>
          <w:sz w:val="24"/>
          <w:szCs w:val="24"/>
          <w14:textFill>
            <w14:solidFill>
              <w14:schemeClr w14:val="tx1"/>
            </w14:solidFill>
          </w14:textFill>
        </w:rPr>
      </w:pPr>
    </w:p>
    <w:p>
      <w:pPr>
        <w:widowControl/>
        <w:spacing w:after="120" w:afterLines="50" w:line="580" w:lineRule="exact"/>
        <w:jc w:val="left"/>
        <w:rPr>
          <w:rFonts w:hint="eastAsia" w:ascii="黑体" w:hAnsi="黑体" w:eastAsia="黑体" w:cs="方正黑体_GBK"/>
          <w:color w:val="000000"/>
          <w:kern w:val="0"/>
          <w:sz w:val="32"/>
          <w:szCs w:val="32"/>
        </w:rPr>
        <w:sectPr>
          <w:headerReference r:id="rId3" w:type="default"/>
          <w:pgSz w:w="11906" w:h="16838"/>
          <w:pgMar w:top="2098" w:right="1474" w:bottom="1814" w:left="1588" w:header="851" w:footer="992" w:gutter="0"/>
          <w:cols w:space="425" w:num="1"/>
          <w:docGrid w:linePitch="312" w:charSpace="0"/>
        </w:sectPr>
      </w:pPr>
      <w:bookmarkStart w:id="0" w:name="_GoBack"/>
      <w:bookmarkEnd w:id="0"/>
    </w:p>
    <w:p>
      <w:pPr>
        <w:widowControl/>
        <w:spacing w:after="120" w:afterLines="50" w:line="580" w:lineRule="exact"/>
        <w:jc w:val="both"/>
        <w:rPr>
          <w:rFonts w:hint="eastAsia" w:ascii="创艺简标宋" w:hAnsi="黑体" w:eastAsia="创艺简标宋" w:cs="宋体"/>
          <w:color w:val="000000"/>
          <w:kern w:val="0"/>
          <w:sz w:val="40"/>
          <w:szCs w:val="40"/>
        </w:rPr>
      </w:pPr>
      <w:r>
        <w:rPr>
          <w:rFonts w:hint="eastAsia" w:ascii="创艺简标宋" w:hAnsi="黑体" w:eastAsia="创艺简标宋" w:cs="宋体"/>
          <w:color w:val="000000"/>
          <w:kern w:val="0"/>
          <w:sz w:val="40"/>
          <w:szCs w:val="40"/>
          <w:lang w:val="en-US" w:eastAsia="zh-CN"/>
        </w:rPr>
        <w:t xml:space="preserve">             </w:t>
      </w:r>
      <w:r>
        <w:rPr>
          <w:rFonts w:hint="eastAsia" w:ascii="创艺简标宋" w:hAnsi="黑体" w:eastAsia="创艺简标宋" w:cs="宋体"/>
          <w:color w:val="000000"/>
          <w:kern w:val="0"/>
          <w:sz w:val="40"/>
          <w:szCs w:val="40"/>
        </w:rPr>
        <w:t>宁波市星级绿色工厂评价导则（2022版）</w:t>
      </w:r>
    </w:p>
    <w:tbl>
      <w:tblPr>
        <w:tblStyle w:val="19"/>
        <w:tblW w:w="13609" w:type="dxa"/>
        <w:jc w:val="center"/>
        <w:tblInd w:w="0" w:type="dxa"/>
        <w:tblLayout w:type="fixed"/>
        <w:tblCellMar>
          <w:top w:w="0" w:type="dxa"/>
          <w:left w:w="108" w:type="dxa"/>
          <w:bottom w:w="0" w:type="dxa"/>
          <w:right w:w="108" w:type="dxa"/>
        </w:tblCellMar>
      </w:tblPr>
      <w:tblGrid>
        <w:gridCol w:w="1271"/>
        <w:gridCol w:w="1183"/>
        <w:gridCol w:w="5343"/>
        <w:gridCol w:w="1267"/>
        <w:gridCol w:w="4545"/>
      </w:tblGrid>
      <w:tr>
        <w:tblPrEx>
          <w:tblLayout w:type="fixed"/>
          <w:tblCellMar>
            <w:top w:w="0" w:type="dxa"/>
            <w:left w:w="108" w:type="dxa"/>
            <w:bottom w:w="0" w:type="dxa"/>
            <w:right w:w="108" w:type="dxa"/>
          </w:tblCellMar>
        </w:tblPrEx>
        <w:trPr>
          <w:trHeight w:val="340" w:hRule="atLeast"/>
          <w:tblHeader/>
          <w:jc w:val="center"/>
        </w:trPr>
        <w:tc>
          <w:tcPr>
            <w:tcW w:w="127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黑体" w:hAnsi="黑体" w:eastAsia="黑体" w:cs="宋体"/>
                <w:color w:val="000000"/>
                <w:kern w:val="0"/>
                <w:szCs w:val="21"/>
              </w:rPr>
            </w:pPr>
            <w:r>
              <w:rPr>
                <w:rFonts w:hint="eastAsia" w:ascii="黑体" w:hAnsi="黑体" w:eastAsia="黑体" w:cs="宋体"/>
                <w:color w:val="000000"/>
                <w:kern w:val="0"/>
                <w:szCs w:val="21"/>
              </w:rPr>
              <w:t>一级指标</w:t>
            </w:r>
          </w:p>
        </w:tc>
        <w:tc>
          <w:tcPr>
            <w:tcW w:w="118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黑体" w:hAnsi="黑体" w:eastAsia="黑体" w:cs="宋体"/>
                <w:color w:val="000000"/>
                <w:kern w:val="0"/>
                <w:szCs w:val="21"/>
              </w:rPr>
            </w:pPr>
            <w:r>
              <w:rPr>
                <w:rFonts w:hint="eastAsia" w:ascii="黑体" w:hAnsi="黑体" w:eastAsia="黑体" w:cs="宋体"/>
                <w:color w:val="000000"/>
                <w:kern w:val="0"/>
                <w:szCs w:val="21"/>
              </w:rPr>
              <w:t>二级指标</w:t>
            </w:r>
          </w:p>
        </w:tc>
        <w:tc>
          <w:tcPr>
            <w:tcW w:w="534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黑体" w:hAnsi="黑体" w:eastAsia="黑体" w:cs="宋体"/>
                <w:color w:val="000000"/>
                <w:kern w:val="0"/>
                <w:szCs w:val="21"/>
              </w:rPr>
            </w:pPr>
            <w:r>
              <w:rPr>
                <w:rFonts w:hint="eastAsia" w:ascii="黑体" w:hAnsi="黑体" w:eastAsia="黑体" w:cs="宋体"/>
                <w:color w:val="000000"/>
                <w:kern w:val="0"/>
                <w:szCs w:val="21"/>
              </w:rPr>
              <w:t>具体要求</w:t>
            </w:r>
          </w:p>
        </w:tc>
        <w:tc>
          <w:tcPr>
            <w:tcW w:w="126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黑体" w:hAnsi="黑体" w:eastAsia="黑体" w:cs="宋体"/>
                <w:color w:val="000000"/>
                <w:kern w:val="0"/>
                <w:szCs w:val="21"/>
              </w:rPr>
            </w:pPr>
            <w:r>
              <w:rPr>
                <w:rFonts w:hint="eastAsia" w:ascii="黑体" w:hAnsi="黑体" w:eastAsia="黑体" w:cs="宋体"/>
                <w:color w:val="000000"/>
                <w:kern w:val="0"/>
                <w:szCs w:val="21"/>
              </w:rPr>
              <w:t>标准分值</w:t>
            </w:r>
          </w:p>
        </w:tc>
        <w:tc>
          <w:tcPr>
            <w:tcW w:w="454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黑体" w:hAnsi="黑体" w:eastAsia="黑体" w:cs="宋体"/>
                <w:color w:val="000000"/>
                <w:kern w:val="0"/>
                <w:szCs w:val="21"/>
              </w:rPr>
            </w:pPr>
            <w:r>
              <w:rPr>
                <w:rFonts w:hint="eastAsia" w:ascii="黑体" w:hAnsi="黑体" w:eastAsia="黑体" w:cs="宋体"/>
                <w:color w:val="000000"/>
                <w:kern w:val="0"/>
                <w:szCs w:val="21"/>
              </w:rPr>
              <w:t>评价细则</w:t>
            </w:r>
          </w:p>
        </w:tc>
      </w:tr>
      <w:tr>
        <w:tblPrEx>
          <w:tblLayout w:type="fixed"/>
          <w:tblCellMar>
            <w:top w:w="0" w:type="dxa"/>
            <w:left w:w="108" w:type="dxa"/>
            <w:bottom w:w="0" w:type="dxa"/>
            <w:right w:w="108" w:type="dxa"/>
          </w:tblCellMar>
        </w:tblPrEx>
        <w:trPr>
          <w:trHeight w:val="340" w:hRule="atLeast"/>
          <w:jc w:val="center"/>
        </w:trPr>
        <w:tc>
          <w:tcPr>
            <w:tcW w:w="1271"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基本条件</w:t>
            </w:r>
          </w:p>
        </w:tc>
        <w:tc>
          <w:tcPr>
            <w:tcW w:w="1183"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合规性</w:t>
            </w:r>
          </w:p>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要求</w:t>
            </w:r>
          </w:p>
        </w:tc>
        <w:tc>
          <w:tcPr>
            <w:tcW w:w="5343"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工厂应依法设立，在建设和生产过程中应遵守有关法律、法规、政策和标准；近三年无重大安全、环保、质量等事故，成立不足三年的企业，成立以来无重大安全、环保、质量等事故。</w:t>
            </w:r>
          </w:p>
        </w:tc>
        <w:tc>
          <w:tcPr>
            <w:tcW w:w="1267"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黑体" w:eastAsia="仿宋_GB2312" w:cs="宋体"/>
                <w:color w:val="000000"/>
                <w:kern w:val="0"/>
                <w:szCs w:val="21"/>
              </w:rPr>
            </w:pPr>
            <w:r>
              <w:rPr>
                <w:rFonts w:hint="eastAsia" w:ascii="仿宋_GB2312" w:hAnsi="黑体" w:eastAsia="仿宋_GB2312" w:cs="宋体"/>
                <w:color w:val="000000"/>
                <w:kern w:val="0"/>
                <w:szCs w:val="21"/>
              </w:rPr>
              <w:t>一票否决</w:t>
            </w:r>
          </w:p>
        </w:tc>
        <w:tc>
          <w:tcPr>
            <w:tcW w:w="4545"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黑体" w:eastAsia="仿宋_GB2312" w:cs="宋体"/>
                <w:color w:val="000000"/>
                <w:kern w:val="0"/>
                <w:szCs w:val="21"/>
              </w:rPr>
            </w:pPr>
            <w:r>
              <w:rPr>
                <w:rFonts w:hint="eastAsia" w:ascii="仿宋_GB2312" w:hAnsi="黑体" w:eastAsia="仿宋_GB2312" w:cs="宋体"/>
                <w:color w:val="000000"/>
                <w:kern w:val="0"/>
                <w:szCs w:val="21"/>
              </w:rPr>
              <w:t>一票否决</w:t>
            </w:r>
          </w:p>
        </w:tc>
      </w:tr>
      <w:tr>
        <w:tblPrEx>
          <w:tblLayout w:type="fixed"/>
          <w:tblCellMar>
            <w:top w:w="0" w:type="dxa"/>
            <w:left w:w="108" w:type="dxa"/>
            <w:bottom w:w="0" w:type="dxa"/>
            <w:right w:w="108" w:type="dxa"/>
          </w:tblCellMar>
        </w:tblPrEx>
        <w:trPr>
          <w:trHeight w:val="340" w:hRule="atLeast"/>
          <w:jc w:val="center"/>
        </w:trPr>
        <w:tc>
          <w:tcPr>
            <w:tcW w:w="127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eastAsia="仿宋_GB2312" w:cs="宋体"/>
                <w:color w:val="000000"/>
                <w:kern w:val="0"/>
                <w:szCs w:val="21"/>
              </w:rPr>
            </w:pPr>
          </w:p>
        </w:tc>
        <w:tc>
          <w:tcPr>
            <w:tcW w:w="1183"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黑体" w:eastAsia="仿宋_GB2312" w:cs="宋体"/>
                <w:color w:val="000000"/>
                <w:kern w:val="0"/>
                <w:szCs w:val="21"/>
              </w:rPr>
            </w:pPr>
            <w:r>
              <w:rPr>
                <w:rFonts w:hint="eastAsia" w:ascii="仿宋_GB2312" w:hAnsi="黑体" w:eastAsia="仿宋_GB2312" w:cs="宋体"/>
                <w:color w:val="000000"/>
                <w:kern w:val="0"/>
                <w:szCs w:val="21"/>
              </w:rPr>
              <w:t>管理职责</w:t>
            </w:r>
          </w:p>
        </w:tc>
        <w:tc>
          <w:tcPr>
            <w:tcW w:w="5343"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工厂设有绿色工厂管理机构或有专人负责有关绿色发展的制度建设、实施等工作。</w:t>
            </w:r>
          </w:p>
        </w:tc>
        <w:tc>
          <w:tcPr>
            <w:tcW w:w="1267"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黑体" w:eastAsia="仿宋_GB2312" w:cs="宋体"/>
                <w:color w:val="000000"/>
                <w:kern w:val="0"/>
                <w:szCs w:val="21"/>
              </w:rPr>
            </w:pPr>
            <w:r>
              <w:rPr>
                <w:rFonts w:hint="eastAsia" w:ascii="仿宋_GB2312" w:hAnsi="黑体" w:eastAsia="仿宋_GB2312" w:cs="宋体"/>
                <w:color w:val="000000"/>
                <w:kern w:val="0"/>
                <w:szCs w:val="21"/>
              </w:rPr>
              <w:t>一票否决</w:t>
            </w:r>
          </w:p>
        </w:tc>
        <w:tc>
          <w:tcPr>
            <w:tcW w:w="4545"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黑体" w:eastAsia="仿宋_GB2312" w:cs="宋体"/>
                <w:color w:val="000000"/>
                <w:kern w:val="0"/>
                <w:szCs w:val="21"/>
              </w:rPr>
            </w:pPr>
            <w:r>
              <w:rPr>
                <w:rFonts w:hint="eastAsia" w:ascii="仿宋_GB2312" w:hAnsi="黑体" w:eastAsia="仿宋_GB2312" w:cs="宋体"/>
                <w:color w:val="000000"/>
                <w:kern w:val="0"/>
                <w:szCs w:val="21"/>
              </w:rPr>
              <w:t>一票否决</w:t>
            </w:r>
          </w:p>
        </w:tc>
      </w:tr>
      <w:tr>
        <w:tblPrEx>
          <w:tblLayout w:type="fixed"/>
          <w:tblCellMar>
            <w:top w:w="0" w:type="dxa"/>
            <w:left w:w="108" w:type="dxa"/>
            <w:bottom w:w="0" w:type="dxa"/>
            <w:right w:w="108" w:type="dxa"/>
          </w:tblCellMar>
        </w:tblPrEx>
        <w:trPr>
          <w:trHeight w:val="340" w:hRule="atLeast"/>
          <w:jc w:val="center"/>
        </w:trPr>
        <w:tc>
          <w:tcPr>
            <w:tcW w:w="127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eastAsia="仿宋_GB2312" w:cs="宋体"/>
                <w:color w:val="000000"/>
                <w:kern w:val="0"/>
                <w:szCs w:val="21"/>
              </w:rPr>
            </w:pPr>
          </w:p>
        </w:tc>
        <w:tc>
          <w:tcPr>
            <w:tcW w:w="1183"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黑体" w:eastAsia="仿宋_GB2312" w:cs="宋体"/>
                <w:color w:val="000000"/>
                <w:kern w:val="0"/>
                <w:szCs w:val="21"/>
              </w:rPr>
            </w:pPr>
            <w:r>
              <w:rPr>
                <w:rFonts w:hint="eastAsia" w:ascii="仿宋_GB2312" w:hAnsi="黑体" w:eastAsia="仿宋_GB2312" w:cs="宋体"/>
                <w:color w:val="000000"/>
                <w:kern w:val="0"/>
                <w:szCs w:val="21"/>
              </w:rPr>
              <w:t>亩均效益</w:t>
            </w:r>
          </w:p>
        </w:tc>
        <w:tc>
          <w:tcPr>
            <w:tcW w:w="5343"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黑体" w:eastAsia="仿宋_GB2312" w:cs="宋体"/>
                <w:color w:val="000000"/>
                <w:kern w:val="0"/>
                <w:szCs w:val="21"/>
              </w:rPr>
            </w:pPr>
            <w:r>
              <w:rPr>
                <w:rFonts w:hint="eastAsia" w:ascii="仿宋_GB2312" w:hAnsi="黑体" w:eastAsia="仿宋_GB2312" w:cs="宋体"/>
                <w:color w:val="000000"/>
                <w:kern w:val="0"/>
                <w:szCs w:val="21"/>
              </w:rPr>
              <w:t>工厂上年度“亩均效益综合评价”在B档及以上。</w:t>
            </w:r>
          </w:p>
        </w:tc>
        <w:tc>
          <w:tcPr>
            <w:tcW w:w="1267"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黑体" w:eastAsia="仿宋_GB2312" w:cs="宋体"/>
                <w:color w:val="000000"/>
                <w:kern w:val="0"/>
                <w:szCs w:val="21"/>
              </w:rPr>
            </w:pPr>
            <w:r>
              <w:rPr>
                <w:rFonts w:hint="eastAsia" w:ascii="仿宋_GB2312" w:hAnsi="黑体" w:eastAsia="仿宋_GB2312" w:cs="宋体"/>
                <w:color w:val="000000"/>
                <w:kern w:val="0"/>
                <w:szCs w:val="21"/>
              </w:rPr>
              <w:t>一票否决</w:t>
            </w:r>
          </w:p>
        </w:tc>
        <w:tc>
          <w:tcPr>
            <w:tcW w:w="4545"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黑体" w:eastAsia="仿宋_GB2312" w:cs="宋体"/>
                <w:color w:val="000000"/>
                <w:kern w:val="0"/>
                <w:szCs w:val="21"/>
              </w:rPr>
            </w:pPr>
            <w:r>
              <w:rPr>
                <w:rFonts w:hint="eastAsia" w:ascii="仿宋_GB2312" w:hAnsi="黑体" w:eastAsia="仿宋_GB2312" w:cs="宋体"/>
                <w:color w:val="000000"/>
                <w:kern w:val="0"/>
                <w:szCs w:val="21"/>
              </w:rPr>
              <w:t>一票否决</w:t>
            </w:r>
          </w:p>
        </w:tc>
      </w:tr>
      <w:tr>
        <w:tblPrEx>
          <w:tblLayout w:type="fixed"/>
          <w:tblCellMar>
            <w:top w:w="0" w:type="dxa"/>
            <w:left w:w="108" w:type="dxa"/>
            <w:bottom w:w="0" w:type="dxa"/>
            <w:right w:w="108" w:type="dxa"/>
          </w:tblCellMar>
        </w:tblPrEx>
        <w:trPr>
          <w:trHeight w:val="2060" w:hRule="atLeast"/>
          <w:jc w:val="center"/>
        </w:trPr>
        <w:tc>
          <w:tcPr>
            <w:tcW w:w="127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基础设施（21）</w:t>
            </w:r>
          </w:p>
        </w:tc>
        <w:tc>
          <w:tcPr>
            <w:tcW w:w="1183"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黑体" w:eastAsia="仿宋_GB2312" w:cs="宋体"/>
                <w:color w:val="000000"/>
                <w:kern w:val="0"/>
                <w:szCs w:val="21"/>
              </w:rPr>
            </w:pPr>
            <w:r>
              <w:rPr>
                <w:rFonts w:hint="eastAsia" w:ascii="仿宋_GB2312" w:hAnsi="黑体" w:eastAsia="仿宋_GB2312" w:cs="宋体"/>
                <w:color w:val="000000"/>
                <w:kern w:val="0"/>
                <w:szCs w:val="21"/>
              </w:rPr>
              <w:t>建筑设施</w:t>
            </w:r>
          </w:p>
        </w:tc>
        <w:tc>
          <w:tcPr>
            <w:tcW w:w="5343"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厂新建、改建和扩建的建筑应遵守国家“固定资产投资项目节能评估审查制度”、“环境影响评价制度”、“三同时制度”、“工业项目建设用地控制指标”等产业政策和有关要求，符合国家或地方相关法律法规及相对应的工厂设计规范标准的要求，在满足生产功能要求下，并应满足采光、通风、保温、防水、隔热、防腐蚀等要求。</w:t>
            </w:r>
          </w:p>
        </w:tc>
        <w:tc>
          <w:tcPr>
            <w:tcW w:w="1267"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3</w:t>
            </w:r>
          </w:p>
        </w:tc>
        <w:tc>
          <w:tcPr>
            <w:tcW w:w="4545" w:type="dxa"/>
            <w:tcBorders>
              <w:top w:val="nil"/>
              <w:left w:val="nil"/>
              <w:bottom w:val="single" w:color="auto" w:sz="4" w:space="0"/>
              <w:right w:val="single" w:color="auto" w:sz="4" w:space="0"/>
            </w:tcBorders>
            <w:vAlign w:val="center"/>
          </w:tcPr>
          <w:p>
            <w:pPr>
              <w:widowControl/>
              <w:spacing w:line="280" w:lineRule="exact"/>
              <w:rPr>
                <w:rFonts w:hint="eastAsia" w:ascii="仿宋_GB2312" w:eastAsia="仿宋_GB2312" w:cs="宋体"/>
                <w:color w:val="000000"/>
                <w:kern w:val="0"/>
                <w:szCs w:val="21"/>
              </w:rPr>
            </w:pPr>
            <w:r>
              <w:rPr>
                <w:rFonts w:hint="eastAsia" w:ascii="仿宋_GB2312" w:eastAsia="仿宋_GB2312" w:cs="宋体"/>
                <w:color w:val="000000"/>
                <w:kern w:val="0"/>
                <w:szCs w:val="21"/>
              </w:rPr>
              <w:t>提供相关佐证材料。全部符合要求的得满分，部分不符合的酌情得分。</w:t>
            </w:r>
          </w:p>
        </w:tc>
      </w:tr>
      <w:tr>
        <w:tblPrEx>
          <w:tblLayout w:type="fixed"/>
          <w:tblCellMar>
            <w:top w:w="0" w:type="dxa"/>
            <w:left w:w="108" w:type="dxa"/>
            <w:bottom w:w="0" w:type="dxa"/>
            <w:right w:w="108" w:type="dxa"/>
          </w:tblCellMar>
        </w:tblPrEx>
        <w:trPr>
          <w:trHeight w:val="797" w:hRule="atLeast"/>
          <w:jc w:val="center"/>
        </w:trPr>
        <w:tc>
          <w:tcPr>
            <w:tcW w:w="12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eastAsia="仿宋_GB2312" w:cs="宋体"/>
                <w:color w:val="000000"/>
                <w:kern w:val="0"/>
                <w:szCs w:val="21"/>
              </w:rPr>
            </w:pPr>
          </w:p>
        </w:tc>
        <w:tc>
          <w:tcPr>
            <w:tcW w:w="118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黑体" w:eastAsia="仿宋_GB2312" w:cs="宋体"/>
                <w:color w:val="000000"/>
                <w:kern w:val="0"/>
                <w:szCs w:val="21"/>
              </w:rPr>
            </w:pPr>
          </w:p>
        </w:tc>
        <w:tc>
          <w:tcPr>
            <w:tcW w:w="5343"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危险品仓库、有毒有害操作间、废弃物处理（暂存）间等产生污染物的房间应独立设置。</w:t>
            </w:r>
          </w:p>
        </w:tc>
        <w:tc>
          <w:tcPr>
            <w:tcW w:w="1267"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3</w:t>
            </w:r>
          </w:p>
        </w:tc>
        <w:tc>
          <w:tcPr>
            <w:tcW w:w="4545" w:type="dxa"/>
            <w:tcBorders>
              <w:top w:val="nil"/>
              <w:left w:val="nil"/>
              <w:bottom w:val="single" w:color="auto" w:sz="4" w:space="0"/>
              <w:right w:val="single" w:color="auto" w:sz="4" w:space="0"/>
            </w:tcBorders>
            <w:vAlign w:val="center"/>
          </w:tcPr>
          <w:p>
            <w:pPr>
              <w:widowControl/>
              <w:spacing w:line="280" w:lineRule="exact"/>
              <w:rPr>
                <w:rFonts w:hint="eastAsia" w:ascii="仿宋_GB2312" w:eastAsia="仿宋_GB2312" w:cs="宋体"/>
                <w:color w:val="000000"/>
                <w:kern w:val="0"/>
                <w:szCs w:val="21"/>
              </w:rPr>
            </w:pPr>
            <w:r>
              <w:rPr>
                <w:rFonts w:hint="eastAsia" w:ascii="仿宋_GB2312" w:eastAsia="仿宋_GB2312" w:cs="宋体"/>
                <w:color w:val="000000"/>
                <w:kern w:val="0"/>
                <w:szCs w:val="21"/>
              </w:rPr>
              <w:t>提供现场照片（彩打）并且标识符合要求。根据企业类别应设需设，得3分。</w:t>
            </w:r>
          </w:p>
        </w:tc>
      </w:tr>
      <w:tr>
        <w:tblPrEx>
          <w:tblLayout w:type="fixed"/>
          <w:tblCellMar>
            <w:top w:w="0" w:type="dxa"/>
            <w:left w:w="108" w:type="dxa"/>
            <w:bottom w:w="0" w:type="dxa"/>
            <w:right w:w="108" w:type="dxa"/>
          </w:tblCellMar>
        </w:tblPrEx>
        <w:trPr>
          <w:trHeight w:val="340" w:hRule="atLeast"/>
          <w:jc w:val="center"/>
        </w:trPr>
        <w:tc>
          <w:tcPr>
            <w:tcW w:w="12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eastAsia="仿宋_GB2312" w:cs="宋体"/>
                <w:color w:val="000000"/>
                <w:kern w:val="0"/>
                <w:szCs w:val="21"/>
              </w:rPr>
            </w:pPr>
          </w:p>
        </w:tc>
        <w:tc>
          <w:tcPr>
            <w:tcW w:w="1183" w:type="dxa"/>
            <w:vMerge w:val="restart"/>
            <w:tcBorders>
              <w:top w:val="nil"/>
              <w:left w:val="single" w:color="auto" w:sz="4" w:space="0"/>
              <w:right w:val="single" w:color="auto" w:sz="4" w:space="0"/>
            </w:tcBorders>
            <w:vAlign w:val="center"/>
          </w:tcPr>
          <w:p>
            <w:pPr>
              <w:widowControl/>
              <w:spacing w:line="300" w:lineRule="exact"/>
              <w:jc w:val="center"/>
              <w:rPr>
                <w:rFonts w:hint="eastAsia" w:ascii="仿宋_GB2312" w:hAnsi="黑体" w:eastAsia="仿宋_GB2312" w:cs="宋体"/>
                <w:color w:val="000000"/>
                <w:kern w:val="0"/>
                <w:szCs w:val="21"/>
              </w:rPr>
            </w:pPr>
            <w:r>
              <w:rPr>
                <w:rFonts w:hint="eastAsia" w:ascii="仿宋_GB2312" w:hAnsi="黑体" w:eastAsia="仿宋_GB2312" w:cs="宋体"/>
                <w:color w:val="000000"/>
                <w:kern w:val="0"/>
                <w:szCs w:val="21"/>
              </w:rPr>
              <w:t>设备设施</w:t>
            </w:r>
          </w:p>
        </w:tc>
        <w:tc>
          <w:tcPr>
            <w:tcW w:w="5343"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工厂专用生产设备需符合产业准入要求，降低能源与资源消耗，减少污染物排放。</w:t>
            </w:r>
          </w:p>
        </w:tc>
        <w:tc>
          <w:tcPr>
            <w:tcW w:w="1267"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2</w:t>
            </w:r>
          </w:p>
        </w:tc>
        <w:tc>
          <w:tcPr>
            <w:tcW w:w="4545" w:type="dxa"/>
            <w:tcBorders>
              <w:top w:val="nil"/>
              <w:left w:val="nil"/>
              <w:bottom w:val="single" w:color="auto" w:sz="4" w:space="0"/>
              <w:right w:val="single" w:color="auto" w:sz="4" w:space="0"/>
            </w:tcBorders>
            <w:vAlign w:val="center"/>
          </w:tcPr>
          <w:p>
            <w:pPr>
              <w:widowControl/>
              <w:spacing w:line="280" w:lineRule="exact"/>
              <w:rPr>
                <w:rFonts w:hint="eastAsia" w:ascii="仿宋_GB2312" w:eastAsia="仿宋_GB2312" w:cs="宋体"/>
                <w:color w:val="000000"/>
                <w:kern w:val="0"/>
                <w:szCs w:val="21"/>
              </w:rPr>
            </w:pPr>
            <w:r>
              <w:rPr>
                <w:rFonts w:hint="eastAsia" w:ascii="仿宋_GB2312" w:eastAsia="仿宋_GB2312" w:cs="宋体"/>
                <w:color w:val="000000"/>
                <w:kern w:val="0"/>
                <w:szCs w:val="21"/>
              </w:rPr>
              <w:t>明确专用生产设备清单，并分析其产业准入符合性或者在节能和污染物排放方面的先进性，提供主要照片和铭牌信息。符合要求得2分。</w:t>
            </w:r>
          </w:p>
        </w:tc>
      </w:tr>
      <w:tr>
        <w:tblPrEx>
          <w:tblLayout w:type="fixed"/>
          <w:tblCellMar>
            <w:top w:w="0" w:type="dxa"/>
            <w:left w:w="108" w:type="dxa"/>
            <w:bottom w:w="0" w:type="dxa"/>
            <w:right w:w="108" w:type="dxa"/>
          </w:tblCellMar>
        </w:tblPrEx>
        <w:trPr>
          <w:trHeight w:val="340" w:hRule="atLeast"/>
          <w:jc w:val="center"/>
        </w:trPr>
        <w:tc>
          <w:tcPr>
            <w:tcW w:w="12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eastAsia="仿宋_GB2312" w:cs="宋体"/>
                <w:color w:val="000000"/>
                <w:kern w:val="0"/>
                <w:szCs w:val="21"/>
              </w:rPr>
            </w:pPr>
          </w:p>
        </w:tc>
        <w:tc>
          <w:tcPr>
            <w:tcW w:w="1183" w:type="dxa"/>
            <w:vMerge w:val="continue"/>
            <w:tcBorders>
              <w:left w:val="single" w:color="auto" w:sz="4" w:space="0"/>
              <w:right w:val="single" w:color="auto" w:sz="4" w:space="0"/>
            </w:tcBorders>
            <w:vAlign w:val="center"/>
          </w:tcPr>
          <w:p>
            <w:pPr>
              <w:widowControl/>
              <w:spacing w:line="300" w:lineRule="exact"/>
              <w:jc w:val="center"/>
              <w:rPr>
                <w:rFonts w:hint="eastAsia" w:ascii="仿宋_GB2312" w:hAnsi="黑体" w:eastAsia="仿宋_GB2312" w:cs="宋体"/>
                <w:color w:val="000000"/>
                <w:kern w:val="0"/>
                <w:szCs w:val="21"/>
              </w:rPr>
            </w:pPr>
          </w:p>
        </w:tc>
        <w:tc>
          <w:tcPr>
            <w:tcW w:w="5343"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已明令禁止生产、能耗高、效率低的工厂生产设备应限期淘汰更新。</w:t>
            </w:r>
          </w:p>
        </w:tc>
        <w:tc>
          <w:tcPr>
            <w:tcW w:w="1267"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3</w:t>
            </w:r>
          </w:p>
        </w:tc>
        <w:tc>
          <w:tcPr>
            <w:tcW w:w="4545" w:type="dxa"/>
            <w:tcBorders>
              <w:top w:val="nil"/>
              <w:left w:val="nil"/>
              <w:bottom w:val="single" w:color="auto" w:sz="4" w:space="0"/>
              <w:right w:val="single" w:color="auto" w:sz="4" w:space="0"/>
            </w:tcBorders>
            <w:vAlign w:val="center"/>
          </w:tcPr>
          <w:p>
            <w:pPr>
              <w:widowControl/>
              <w:spacing w:line="280" w:lineRule="exact"/>
              <w:rPr>
                <w:rFonts w:hint="eastAsia" w:ascii="仿宋_GB2312" w:eastAsia="仿宋_GB2312" w:cs="宋体"/>
                <w:color w:val="000000"/>
                <w:kern w:val="0"/>
                <w:szCs w:val="21"/>
              </w:rPr>
            </w:pPr>
            <w:r>
              <w:rPr>
                <w:rFonts w:hint="eastAsia" w:ascii="仿宋_GB2312" w:eastAsia="仿宋_GB2312" w:cs="宋体"/>
                <w:color w:val="000000"/>
                <w:kern w:val="0"/>
                <w:szCs w:val="21"/>
              </w:rPr>
              <w:t>（若有）明确限期淘汰更新设备清单，并在淘汰时间上做出承诺。符合限期淘汰更新要求的，得3分。</w:t>
            </w:r>
          </w:p>
        </w:tc>
      </w:tr>
      <w:tr>
        <w:tblPrEx>
          <w:tblLayout w:type="fixed"/>
          <w:tblCellMar>
            <w:top w:w="0" w:type="dxa"/>
            <w:left w:w="108" w:type="dxa"/>
            <w:bottom w:w="0" w:type="dxa"/>
            <w:right w:w="108" w:type="dxa"/>
          </w:tblCellMar>
        </w:tblPrEx>
        <w:trPr>
          <w:trHeight w:val="340" w:hRule="atLeast"/>
          <w:jc w:val="center"/>
        </w:trPr>
        <w:tc>
          <w:tcPr>
            <w:tcW w:w="12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eastAsia="仿宋_GB2312" w:cs="宋体"/>
                <w:color w:val="000000"/>
                <w:kern w:val="0"/>
                <w:szCs w:val="21"/>
              </w:rPr>
            </w:pPr>
          </w:p>
        </w:tc>
        <w:tc>
          <w:tcPr>
            <w:tcW w:w="1183"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黑体" w:eastAsia="仿宋_GB2312" w:cs="宋体"/>
                <w:color w:val="000000"/>
                <w:kern w:val="0"/>
                <w:szCs w:val="21"/>
              </w:rPr>
            </w:pPr>
          </w:p>
        </w:tc>
        <w:tc>
          <w:tcPr>
            <w:tcW w:w="5343"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（适用时）对变压器、风机、水泵等通用设备应达到相关标准中能效限定值的强制性要求。</w:t>
            </w:r>
          </w:p>
        </w:tc>
        <w:tc>
          <w:tcPr>
            <w:tcW w:w="1267"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2</w:t>
            </w:r>
          </w:p>
        </w:tc>
        <w:tc>
          <w:tcPr>
            <w:tcW w:w="4545" w:type="dxa"/>
            <w:tcBorders>
              <w:top w:val="nil"/>
              <w:left w:val="nil"/>
              <w:bottom w:val="single" w:color="auto" w:sz="4" w:space="0"/>
              <w:right w:val="single" w:color="auto" w:sz="4" w:space="0"/>
            </w:tcBorders>
            <w:vAlign w:val="center"/>
          </w:tcPr>
          <w:p>
            <w:pPr>
              <w:widowControl/>
              <w:spacing w:line="280" w:lineRule="exact"/>
              <w:rPr>
                <w:rFonts w:hint="eastAsia" w:ascii="仿宋_GB2312" w:eastAsia="仿宋_GB2312" w:cs="宋体"/>
                <w:color w:val="000000"/>
                <w:kern w:val="0"/>
                <w:szCs w:val="21"/>
              </w:rPr>
            </w:pPr>
            <w:r>
              <w:rPr>
                <w:rFonts w:hint="eastAsia" w:ascii="仿宋_GB2312" w:eastAsia="仿宋_GB2312" w:cs="宋体"/>
                <w:color w:val="000000"/>
                <w:kern w:val="0"/>
                <w:szCs w:val="21"/>
              </w:rPr>
              <w:t>对变压器、风机、水泵等通用设备进行对标分析并明确能效等级，提供主要照片和铭牌信息。符合要求的，得2分。</w:t>
            </w:r>
          </w:p>
        </w:tc>
      </w:tr>
      <w:tr>
        <w:tblPrEx>
          <w:tblLayout w:type="fixed"/>
          <w:tblCellMar>
            <w:top w:w="0" w:type="dxa"/>
            <w:left w:w="108" w:type="dxa"/>
            <w:bottom w:w="0" w:type="dxa"/>
            <w:right w:w="108" w:type="dxa"/>
          </w:tblCellMar>
        </w:tblPrEx>
        <w:trPr>
          <w:trHeight w:val="887" w:hRule="atLeast"/>
          <w:jc w:val="center"/>
        </w:trPr>
        <w:tc>
          <w:tcPr>
            <w:tcW w:w="1271"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基础设施（21）</w:t>
            </w:r>
          </w:p>
        </w:tc>
        <w:tc>
          <w:tcPr>
            <w:tcW w:w="118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黑体" w:eastAsia="仿宋_GB2312" w:cs="宋体"/>
                <w:color w:val="000000"/>
                <w:kern w:val="0"/>
                <w:szCs w:val="21"/>
              </w:rPr>
            </w:pPr>
            <w:r>
              <w:rPr>
                <w:rFonts w:hint="eastAsia" w:ascii="仿宋_GB2312" w:hAnsi="黑体" w:eastAsia="仿宋_GB2312" w:cs="宋体"/>
                <w:color w:val="000000"/>
                <w:kern w:val="0"/>
                <w:szCs w:val="21"/>
              </w:rPr>
              <w:t>设备设施</w:t>
            </w:r>
          </w:p>
        </w:tc>
        <w:tc>
          <w:tcPr>
            <w:tcW w:w="5343"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工厂应投入适宜的污染物处理设备，以确保其污染物排放达到相关法律法规及标准要求，污染物处理设备的处理能力应与工厂生产排放相适应，并应正常运行。</w:t>
            </w:r>
          </w:p>
        </w:tc>
        <w:tc>
          <w:tcPr>
            <w:tcW w:w="1267"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2</w:t>
            </w:r>
          </w:p>
        </w:tc>
        <w:tc>
          <w:tcPr>
            <w:tcW w:w="4545" w:type="dxa"/>
            <w:tcBorders>
              <w:top w:val="nil"/>
              <w:left w:val="nil"/>
              <w:bottom w:val="single" w:color="auto" w:sz="4" w:space="0"/>
              <w:right w:val="single" w:color="auto" w:sz="4" w:space="0"/>
            </w:tcBorders>
            <w:vAlign w:val="center"/>
          </w:tcPr>
          <w:p>
            <w:pPr>
              <w:widowControl/>
              <w:spacing w:line="280" w:lineRule="exact"/>
              <w:rPr>
                <w:rFonts w:hint="eastAsia" w:ascii="仿宋_GB2312" w:eastAsia="仿宋_GB2312" w:cs="宋体"/>
                <w:color w:val="000000"/>
                <w:kern w:val="0"/>
                <w:szCs w:val="21"/>
              </w:rPr>
            </w:pPr>
            <w:r>
              <w:rPr>
                <w:rFonts w:hint="eastAsia" w:ascii="仿宋_GB2312" w:eastAsia="仿宋_GB2312" w:cs="宋体"/>
                <w:color w:val="000000"/>
                <w:kern w:val="0"/>
                <w:szCs w:val="21"/>
              </w:rPr>
              <w:t>明确环境污染治理设备清单及处理能力，提供污染物处理设施照片，工艺要求与“三同时”验收一致。满足生产能力要求并正常运行，得2分。</w:t>
            </w:r>
          </w:p>
        </w:tc>
      </w:tr>
      <w:tr>
        <w:tblPrEx>
          <w:tblLayout w:type="fixed"/>
          <w:tblCellMar>
            <w:top w:w="0" w:type="dxa"/>
            <w:left w:w="108" w:type="dxa"/>
            <w:bottom w:w="0" w:type="dxa"/>
            <w:right w:w="108" w:type="dxa"/>
          </w:tblCellMar>
        </w:tblPrEx>
        <w:trPr>
          <w:trHeight w:val="1013" w:hRule="atLeast"/>
          <w:jc w:val="center"/>
        </w:trPr>
        <w:tc>
          <w:tcPr>
            <w:tcW w:w="1271" w:type="dxa"/>
            <w:vMerge w:val="continue"/>
            <w:tcBorders>
              <w:left w:val="single" w:color="auto" w:sz="4" w:space="0"/>
              <w:right w:val="single" w:color="auto" w:sz="4" w:space="0"/>
            </w:tcBorders>
            <w:vAlign w:val="center"/>
          </w:tcPr>
          <w:p>
            <w:pPr>
              <w:widowControl/>
              <w:spacing w:line="300" w:lineRule="exact"/>
              <w:jc w:val="center"/>
              <w:rPr>
                <w:rFonts w:hint="eastAsia" w:ascii="仿宋_GB2312" w:eastAsia="仿宋_GB2312" w:cs="宋体"/>
                <w:color w:val="000000"/>
                <w:kern w:val="0"/>
                <w:szCs w:val="21"/>
              </w:rPr>
            </w:pPr>
          </w:p>
        </w:tc>
        <w:tc>
          <w:tcPr>
            <w:tcW w:w="118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黑体" w:eastAsia="仿宋_GB2312" w:cs="宋体"/>
                <w:color w:val="000000"/>
                <w:kern w:val="0"/>
                <w:szCs w:val="21"/>
              </w:rPr>
            </w:pPr>
            <w:r>
              <w:rPr>
                <w:rFonts w:hint="eastAsia" w:ascii="仿宋_GB2312" w:hAnsi="黑体" w:eastAsia="仿宋_GB2312" w:cs="宋体"/>
                <w:color w:val="000000"/>
                <w:kern w:val="0"/>
                <w:szCs w:val="21"/>
              </w:rPr>
              <w:t>计量设施</w:t>
            </w:r>
          </w:p>
        </w:tc>
        <w:tc>
          <w:tcPr>
            <w:tcW w:w="5343"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工厂应依据GB 17167、GB 24789等要求配备、使用和管理能源、水以及其他资源的计量器具和装置。工厂能源资源达到二级计量，环保设施、照明、冷水机组、锅炉、冷却塔、空气处理设备等设备单独设置计量。</w:t>
            </w:r>
          </w:p>
        </w:tc>
        <w:tc>
          <w:tcPr>
            <w:tcW w:w="1267"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4</w:t>
            </w:r>
          </w:p>
        </w:tc>
        <w:tc>
          <w:tcPr>
            <w:tcW w:w="4545" w:type="dxa"/>
            <w:tcBorders>
              <w:top w:val="nil"/>
              <w:left w:val="nil"/>
              <w:bottom w:val="single" w:color="auto" w:sz="4" w:space="0"/>
              <w:right w:val="single" w:color="auto" w:sz="4" w:space="0"/>
            </w:tcBorders>
            <w:vAlign w:val="center"/>
          </w:tcPr>
          <w:p>
            <w:pPr>
              <w:widowControl/>
              <w:spacing w:line="280" w:lineRule="exact"/>
              <w:rPr>
                <w:rFonts w:ascii="仿宋_GB2312" w:eastAsia="仿宋_GB2312" w:cs="宋体"/>
                <w:color w:val="000000"/>
                <w:kern w:val="0"/>
                <w:szCs w:val="21"/>
              </w:rPr>
            </w:pPr>
            <w:r>
              <w:rPr>
                <w:rFonts w:hint="eastAsia" w:ascii="仿宋_GB2312" w:eastAsia="仿宋_GB2312" w:cs="宋体"/>
                <w:color w:val="000000"/>
                <w:kern w:val="0"/>
                <w:szCs w:val="21"/>
              </w:rPr>
              <w:t>工厂能源资源达到一级计量得1分；二级计量得2分；达到二级计量且满足分类计量要求得4分。</w:t>
            </w:r>
          </w:p>
        </w:tc>
      </w:tr>
      <w:tr>
        <w:tblPrEx>
          <w:tblLayout w:type="fixed"/>
          <w:tblCellMar>
            <w:top w:w="0" w:type="dxa"/>
            <w:left w:w="108" w:type="dxa"/>
            <w:bottom w:w="0" w:type="dxa"/>
            <w:right w:w="108" w:type="dxa"/>
          </w:tblCellMar>
        </w:tblPrEx>
        <w:trPr>
          <w:trHeight w:val="824" w:hRule="atLeast"/>
          <w:jc w:val="center"/>
        </w:trPr>
        <w:tc>
          <w:tcPr>
            <w:tcW w:w="1271"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eastAsia="仿宋_GB2312" w:cs="宋体"/>
                <w:color w:val="000000"/>
                <w:kern w:val="0"/>
                <w:szCs w:val="21"/>
              </w:rPr>
            </w:pPr>
          </w:p>
        </w:tc>
        <w:tc>
          <w:tcPr>
            <w:tcW w:w="1183"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黑体" w:eastAsia="仿宋_GB2312" w:cs="宋体"/>
                <w:color w:val="000000"/>
                <w:kern w:val="0"/>
                <w:szCs w:val="21"/>
              </w:rPr>
            </w:pPr>
            <w:r>
              <w:rPr>
                <w:rFonts w:hint="eastAsia" w:ascii="仿宋_GB2312" w:hAnsi="黑体" w:eastAsia="仿宋_GB2312" w:cs="宋体"/>
                <w:color w:val="000000"/>
                <w:kern w:val="0"/>
                <w:szCs w:val="21"/>
              </w:rPr>
              <w:t>照明</w:t>
            </w:r>
          </w:p>
        </w:tc>
        <w:tc>
          <w:tcPr>
            <w:tcW w:w="5343"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仿宋_GB2312" w:eastAsia="仿宋_GB2312" w:cs="宋体"/>
                <w:color w:val="000000"/>
                <w:w w:val="90"/>
                <w:kern w:val="0"/>
                <w:szCs w:val="21"/>
              </w:rPr>
            </w:pPr>
            <w:r>
              <w:rPr>
                <w:rFonts w:hint="eastAsia" w:ascii="仿宋_GB2312" w:eastAsia="仿宋_GB2312" w:cs="宋体"/>
                <w:color w:val="000000"/>
                <w:w w:val="90"/>
                <w:kern w:val="0"/>
                <w:szCs w:val="21"/>
              </w:rPr>
              <w:t>工厂厂区及各房间或场所的照明功率密度应符合GB 50034规定现行值，使用节能灯等节能型照明设备。</w:t>
            </w:r>
          </w:p>
        </w:tc>
        <w:tc>
          <w:tcPr>
            <w:tcW w:w="1267"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2</w:t>
            </w:r>
          </w:p>
        </w:tc>
        <w:tc>
          <w:tcPr>
            <w:tcW w:w="4545" w:type="dxa"/>
            <w:tcBorders>
              <w:top w:val="nil"/>
              <w:left w:val="nil"/>
              <w:bottom w:val="single" w:color="auto" w:sz="4" w:space="0"/>
              <w:right w:val="single" w:color="auto" w:sz="4" w:space="0"/>
            </w:tcBorders>
            <w:vAlign w:val="center"/>
          </w:tcPr>
          <w:p>
            <w:pPr>
              <w:widowControl/>
              <w:spacing w:line="280" w:lineRule="exact"/>
              <w:rPr>
                <w:rFonts w:hint="eastAsia" w:ascii="仿宋_GB2312" w:eastAsia="仿宋_GB2312" w:cs="宋体"/>
                <w:color w:val="000000"/>
                <w:kern w:val="0"/>
                <w:szCs w:val="21"/>
              </w:rPr>
            </w:pPr>
            <w:r>
              <w:rPr>
                <w:rFonts w:hint="eastAsia" w:ascii="仿宋_GB2312" w:eastAsia="仿宋_GB2312" w:cs="宋体"/>
                <w:color w:val="000000"/>
                <w:kern w:val="0"/>
                <w:szCs w:val="21"/>
              </w:rPr>
              <w:t>符合规范要求得1分；符合规范要求，且使用节能照明设备使用率80%以上得2分（特殊场合不能达标使用的需说明理由）。</w:t>
            </w:r>
          </w:p>
        </w:tc>
      </w:tr>
      <w:tr>
        <w:tblPrEx>
          <w:tblLayout w:type="fixed"/>
          <w:tblCellMar>
            <w:top w:w="0" w:type="dxa"/>
            <w:left w:w="108" w:type="dxa"/>
            <w:bottom w:w="0" w:type="dxa"/>
            <w:right w:w="108" w:type="dxa"/>
          </w:tblCellMar>
        </w:tblPrEx>
        <w:trPr>
          <w:trHeight w:val="340" w:hRule="atLeast"/>
          <w:jc w:val="center"/>
        </w:trPr>
        <w:tc>
          <w:tcPr>
            <w:tcW w:w="1271"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管理体系（12）</w:t>
            </w:r>
          </w:p>
        </w:tc>
        <w:tc>
          <w:tcPr>
            <w:tcW w:w="1183"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质量管理体系</w:t>
            </w:r>
          </w:p>
        </w:tc>
        <w:tc>
          <w:tcPr>
            <w:tcW w:w="5343"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工厂应建立满足GB/T 19001要求的质量管理制度，并实施和保持。</w:t>
            </w:r>
          </w:p>
        </w:tc>
        <w:tc>
          <w:tcPr>
            <w:tcW w:w="1267"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3</w:t>
            </w:r>
          </w:p>
        </w:tc>
        <w:tc>
          <w:tcPr>
            <w:tcW w:w="4545" w:type="dxa"/>
            <w:tcBorders>
              <w:top w:val="nil"/>
              <w:left w:val="nil"/>
              <w:bottom w:val="single" w:color="auto" w:sz="4" w:space="0"/>
              <w:right w:val="single" w:color="auto" w:sz="4" w:space="0"/>
            </w:tcBorders>
            <w:vAlign w:val="center"/>
          </w:tcPr>
          <w:p>
            <w:pPr>
              <w:widowControl/>
              <w:spacing w:line="280" w:lineRule="exact"/>
              <w:rPr>
                <w:rFonts w:hint="eastAsia" w:ascii="仿宋_GB2312" w:eastAsia="仿宋_GB2312" w:cs="宋体"/>
                <w:color w:val="000000"/>
                <w:kern w:val="0"/>
                <w:szCs w:val="21"/>
              </w:rPr>
            </w:pPr>
            <w:r>
              <w:rPr>
                <w:rFonts w:hint="eastAsia" w:ascii="仿宋_GB2312" w:eastAsia="仿宋_GB2312" w:cs="宋体"/>
                <w:color w:val="000000"/>
                <w:kern w:val="0"/>
                <w:szCs w:val="21"/>
              </w:rPr>
              <w:t>建立制度得1分；建立体系得2分；通过质量管理体系认证或行业质量管理体系认证得3分。</w:t>
            </w:r>
          </w:p>
        </w:tc>
      </w:tr>
      <w:tr>
        <w:tblPrEx>
          <w:tblLayout w:type="fixed"/>
          <w:tblCellMar>
            <w:top w:w="0" w:type="dxa"/>
            <w:left w:w="108" w:type="dxa"/>
            <w:bottom w:w="0" w:type="dxa"/>
            <w:right w:w="108" w:type="dxa"/>
          </w:tblCellMar>
        </w:tblPrEx>
        <w:trPr>
          <w:trHeight w:val="550" w:hRule="atLeast"/>
          <w:jc w:val="center"/>
        </w:trPr>
        <w:tc>
          <w:tcPr>
            <w:tcW w:w="127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eastAsia="仿宋_GB2312" w:cs="宋体"/>
                <w:color w:val="000000"/>
                <w:kern w:val="0"/>
                <w:szCs w:val="21"/>
              </w:rPr>
            </w:pPr>
          </w:p>
        </w:tc>
        <w:tc>
          <w:tcPr>
            <w:tcW w:w="1183"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环境管理体系</w:t>
            </w:r>
          </w:p>
        </w:tc>
        <w:tc>
          <w:tcPr>
            <w:tcW w:w="5343"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工厂应建立满足GB/T 24001要求的环境管理制度，并实施和保持。</w:t>
            </w:r>
          </w:p>
        </w:tc>
        <w:tc>
          <w:tcPr>
            <w:tcW w:w="1267"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3</w:t>
            </w:r>
          </w:p>
        </w:tc>
        <w:tc>
          <w:tcPr>
            <w:tcW w:w="4545" w:type="dxa"/>
            <w:tcBorders>
              <w:top w:val="nil"/>
              <w:left w:val="nil"/>
              <w:bottom w:val="single" w:color="auto" w:sz="4" w:space="0"/>
              <w:right w:val="single" w:color="auto" w:sz="4" w:space="0"/>
            </w:tcBorders>
            <w:vAlign w:val="center"/>
          </w:tcPr>
          <w:p>
            <w:pPr>
              <w:widowControl/>
              <w:spacing w:line="280" w:lineRule="exact"/>
              <w:rPr>
                <w:rFonts w:hint="eastAsia" w:ascii="仿宋_GB2312" w:eastAsia="仿宋_GB2312" w:cs="宋体"/>
                <w:color w:val="000000"/>
                <w:kern w:val="0"/>
                <w:szCs w:val="21"/>
              </w:rPr>
            </w:pPr>
            <w:r>
              <w:rPr>
                <w:rFonts w:hint="eastAsia" w:ascii="仿宋_GB2312" w:eastAsia="仿宋_GB2312" w:cs="宋体"/>
                <w:color w:val="000000"/>
                <w:kern w:val="0"/>
                <w:szCs w:val="21"/>
              </w:rPr>
              <w:t>建立制度得1分；建立体系得2分；通过第三方认证得3分。</w:t>
            </w:r>
          </w:p>
        </w:tc>
      </w:tr>
      <w:tr>
        <w:tblPrEx>
          <w:tblLayout w:type="fixed"/>
          <w:tblCellMar>
            <w:top w:w="0" w:type="dxa"/>
            <w:left w:w="108" w:type="dxa"/>
            <w:bottom w:w="0" w:type="dxa"/>
            <w:right w:w="108" w:type="dxa"/>
          </w:tblCellMar>
        </w:tblPrEx>
        <w:trPr>
          <w:trHeight w:val="767" w:hRule="atLeast"/>
          <w:jc w:val="center"/>
        </w:trPr>
        <w:tc>
          <w:tcPr>
            <w:tcW w:w="127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eastAsia="仿宋_GB2312" w:cs="宋体"/>
                <w:color w:val="000000"/>
                <w:kern w:val="0"/>
                <w:szCs w:val="21"/>
              </w:rPr>
            </w:pPr>
          </w:p>
        </w:tc>
        <w:tc>
          <w:tcPr>
            <w:tcW w:w="1183"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职业健康安全管理体系</w:t>
            </w:r>
          </w:p>
        </w:tc>
        <w:tc>
          <w:tcPr>
            <w:tcW w:w="5343"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 xml:space="preserve">工厂应建立满足GB/T </w:t>
            </w:r>
            <w:r>
              <w:rPr>
                <w:rFonts w:ascii="仿宋_GB2312" w:eastAsia="仿宋_GB2312" w:cs="宋体"/>
                <w:color w:val="000000"/>
                <w:kern w:val="0"/>
                <w:szCs w:val="21"/>
              </w:rPr>
              <w:t>45</w:t>
            </w:r>
            <w:r>
              <w:rPr>
                <w:rFonts w:hint="eastAsia" w:ascii="仿宋_GB2312" w:eastAsia="仿宋_GB2312" w:cs="宋体"/>
                <w:color w:val="000000"/>
                <w:kern w:val="0"/>
                <w:szCs w:val="21"/>
              </w:rPr>
              <w:t>001要求的职业健康安全管理制度，并实施和保持。</w:t>
            </w:r>
          </w:p>
        </w:tc>
        <w:tc>
          <w:tcPr>
            <w:tcW w:w="1267"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3</w:t>
            </w:r>
          </w:p>
        </w:tc>
        <w:tc>
          <w:tcPr>
            <w:tcW w:w="4545" w:type="dxa"/>
            <w:tcBorders>
              <w:top w:val="nil"/>
              <w:left w:val="nil"/>
              <w:bottom w:val="single" w:color="auto" w:sz="4" w:space="0"/>
              <w:right w:val="single" w:color="auto" w:sz="4" w:space="0"/>
            </w:tcBorders>
            <w:vAlign w:val="center"/>
          </w:tcPr>
          <w:p>
            <w:pPr>
              <w:widowControl/>
              <w:spacing w:line="280" w:lineRule="exact"/>
              <w:rPr>
                <w:rFonts w:hint="eastAsia" w:ascii="仿宋_GB2312" w:eastAsia="仿宋_GB2312" w:cs="宋体"/>
                <w:color w:val="000000"/>
                <w:kern w:val="0"/>
                <w:szCs w:val="21"/>
              </w:rPr>
            </w:pPr>
            <w:r>
              <w:rPr>
                <w:rFonts w:hint="eastAsia" w:ascii="仿宋_GB2312" w:eastAsia="仿宋_GB2312" w:cs="宋体"/>
                <w:color w:val="000000"/>
                <w:kern w:val="0"/>
                <w:szCs w:val="21"/>
              </w:rPr>
              <w:t>建立制度得1分；建立体系得2分；通过第三方认证得3分。</w:t>
            </w:r>
          </w:p>
        </w:tc>
      </w:tr>
      <w:tr>
        <w:tblPrEx>
          <w:tblLayout w:type="fixed"/>
          <w:tblCellMar>
            <w:top w:w="0" w:type="dxa"/>
            <w:left w:w="108" w:type="dxa"/>
            <w:bottom w:w="0" w:type="dxa"/>
            <w:right w:w="108" w:type="dxa"/>
          </w:tblCellMar>
        </w:tblPrEx>
        <w:trPr>
          <w:trHeight w:val="340" w:hRule="atLeast"/>
          <w:jc w:val="center"/>
        </w:trPr>
        <w:tc>
          <w:tcPr>
            <w:tcW w:w="127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eastAsia="仿宋_GB2312" w:cs="宋体"/>
                <w:color w:val="000000"/>
                <w:kern w:val="0"/>
                <w:szCs w:val="21"/>
              </w:rPr>
            </w:pPr>
          </w:p>
        </w:tc>
        <w:tc>
          <w:tcPr>
            <w:tcW w:w="1183"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能源管理体系</w:t>
            </w:r>
          </w:p>
        </w:tc>
        <w:tc>
          <w:tcPr>
            <w:tcW w:w="5343"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工厂应建立满足GB/T 23331要求的能源管理制度，并实施和保持。</w:t>
            </w:r>
          </w:p>
        </w:tc>
        <w:tc>
          <w:tcPr>
            <w:tcW w:w="1267"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3</w:t>
            </w:r>
          </w:p>
        </w:tc>
        <w:tc>
          <w:tcPr>
            <w:tcW w:w="4545" w:type="dxa"/>
            <w:tcBorders>
              <w:top w:val="nil"/>
              <w:left w:val="nil"/>
              <w:bottom w:val="single" w:color="auto" w:sz="4" w:space="0"/>
              <w:right w:val="single" w:color="auto" w:sz="4" w:space="0"/>
            </w:tcBorders>
            <w:vAlign w:val="center"/>
          </w:tcPr>
          <w:p>
            <w:pPr>
              <w:widowControl/>
              <w:spacing w:line="280" w:lineRule="exact"/>
              <w:rPr>
                <w:rFonts w:hint="eastAsia" w:ascii="仿宋_GB2312" w:eastAsia="仿宋_GB2312" w:cs="宋体"/>
                <w:color w:val="000000"/>
                <w:kern w:val="0"/>
                <w:szCs w:val="21"/>
              </w:rPr>
            </w:pPr>
            <w:r>
              <w:rPr>
                <w:rFonts w:hint="eastAsia" w:ascii="仿宋_GB2312" w:eastAsia="仿宋_GB2312" w:cs="宋体"/>
                <w:color w:val="000000"/>
                <w:kern w:val="0"/>
                <w:szCs w:val="21"/>
              </w:rPr>
              <w:t>建立制度得1分；建立体系得2分；通过第三方认证得3分。</w:t>
            </w:r>
          </w:p>
        </w:tc>
      </w:tr>
      <w:tr>
        <w:tblPrEx>
          <w:tblLayout w:type="fixed"/>
          <w:tblCellMar>
            <w:top w:w="0" w:type="dxa"/>
            <w:left w:w="108" w:type="dxa"/>
            <w:bottom w:w="0" w:type="dxa"/>
            <w:right w:w="108" w:type="dxa"/>
          </w:tblCellMar>
        </w:tblPrEx>
        <w:trPr>
          <w:trHeight w:val="1893" w:hRule="atLeast"/>
          <w:jc w:val="center"/>
        </w:trPr>
        <w:tc>
          <w:tcPr>
            <w:tcW w:w="127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能源与资源投入（11）</w:t>
            </w:r>
          </w:p>
        </w:tc>
        <w:tc>
          <w:tcPr>
            <w:tcW w:w="1183"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能源投入</w:t>
            </w:r>
          </w:p>
        </w:tc>
        <w:tc>
          <w:tcPr>
            <w:tcW w:w="5343"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工厂应根据行业现实情况优化用能结构，在保证安全、质量的前提下减少不可再生能源投入，应采用能源梯级利用、能源回收利用，逐步提高非化石能源所占比例，充分利用余热余压等。</w:t>
            </w:r>
          </w:p>
        </w:tc>
        <w:tc>
          <w:tcPr>
            <w:tcW w:w="1267"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6</w:t>
            </w:r>
          </w:p>
        </w:tc>
        <w:tc>
          <w:tcPr>
            <w:tcW w:w="4545" w:type="dxa"/>
            <w:tcBorders>
              <w:top w:val="nil"/>
              <w:left w:val="nil"/>
              <w:bottom w:val="single" w:color="auto" w:sz="4" w:space="0"/>
              <w:right w:val="single" w:color="auto" w:sz="4" w:space="0"/>
            </w:tcBorders>
            <w:vAlign w:val="center"/>
          </w:tcPr>
          <w:p>
            <w:pPr>
              <w:widowControl/>
              <w:spacing w:line="280" w:lineRule="exact"/>
              <w:rPr>
                <w:rFonts w:hint="eastAsia" w:ascii="仿宋_GB2312" w:eastAsia="仿宋_GB2312" w:cs="宋体"/>
                <w:color w:val="000000"/>
                <w:kern w:val="0"/>
                <w:szCs w:val="21"/>
              </w:rPr>
            </w:pPr>
            <w:r>
              <w:rPr>
                <w:rFonts w:hint="eastAsia" w:ascii="仿宋_GB2312" w:eastAsia="仿宋_GB2312" w:cs="宋体"/>
                <w:color w:val="000000"/>
                <w:kern w:val="0"/>
                <w:szCs w:val="21"/>
              </w:rPr>
              <w:t>优化用能结构并减少能源投入，有能源梯级利用、能源回收利用、余热余压利用等节能措施的得1分；近三年内有实施投资额在50万元以上节能降碳项目的（1000吨标煤以下的企业可以放宽到20万元），得3分。采用新能源系统，有实施光伏、风力发电等项目或建立智慧能源管理系统的，得3分。</w:t>
            </w:r>
          </w:p>
        </w:tc>
      </w:tr>
      <w:tr>
        <w:tblPrEx>
          <w:tblLayout w:type="fixed"/>
          <w:tblCellMar>
            <w:top w:w="0" w:type="dxa"/>
            <w:left w:w="108" w:type="dxa"/>
            <w:bottom w:w="0" w:type="dxa"/>
            <w:right w:w="108" w:type="dxa"/>
          </w:tblCellMar>
        </w:tblPrEx>
        <w:trPr>
          <w:trHeight w:val="340" w:hRule="atLeast"/>
          <w:jc w:val="center"/>
        </w:trPr>
        <w:tc>
          <w:tcPr>
            <w:tcW w:w="12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eastAsia="仿宋_GB2312" w:cs="宋体"/>
                <w:color w:val="000000"/>
                <w:kern w:val="0"/>
                <w:szCs w:val="21"/>
              </w:rPr>
            </w:pPr>
          </w:p>
        </w:tc>
        <w:tc>
          <w:tcPr>
            <w:tcW w:w="1183"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资源投入</w:t>
            </w:r>
          </w:p>
        </w:tc>
        <w:tc>
          <w:tcPr>
            <w:tcW w:w="5343"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工厂应按照GB/T7119的要求对其开展节水评价工作。</w:t>
            </w:r>
          </w:p>
        </w:tc>
        <w:tc>
          <w:tcPr>
            <w:tcW w:w="1267"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3</w:t>
            </w:r>
          </w:p>
        </w:tc>
        <w:tc>
          <w:tcPr>
            <w:tcW w:w="4545" w:type="dxa"/>
            <w:tcBorders>
              <w:top w:val="nil"/>
              <w:left w:val="nil"/>
              <w:bottom w:val="single" w:color="auto" w:sz="4" w:space="0"/>
              <w:right w:val="single" w:color="auto" w:sz="4" w:space="0"/>
            </w:tcBorders>
            <w:vAlign w:val="center"/>
          </w:tcPr>
          <w:p>
            <w:pPr>
              <w:widowControl/>
              <w:spacing w:line="280" w:lineRule="exact"/>
              <w:rPr>
                <w:rFonts w:hint="eastAsia" w:ascii="仿宋_GB2312" w:eastAsia="仿宋_GB2312" w:cs="宋体"/>
                <w:color w:val="000000"/>
                <w:kern w:val="0"/>
                <w:szCs w:val="21"/>
              </w:rPr>
            </w:pPr>
            <w:r>
              <w:rPr>
                <w:rFonts w:hint="eastAsia" w:ascii="仿宋_GB2312" w:eastAsia="仿宋_GB2312" w:cs="宋体"/>
                <w:color w:val="000000"/>
                <w:kern w:val="0"/>
                <w:szCs w:val="21"/>
              </w:rPr>
              <w:t>满足规范要求得2分。近五年内通过节水型企业评定或有实施投资额在10万元以上节水改造项目以上的得3分。</w:t>
            </w:r>
          </w:p>
        </w:tc>
      </w:tr>
      <w:tr>
        <w:tblPrEx>
          <w:tblLayout w:type="fixed"/>
          <w:tblCellMar>
            <w:top w:w="0" w:type="dxa"/>
            <w:left w:w="108" w:type="dxa"/>
            <w:bottom w:w="0" w:type="dxa"/>
            <w:right w:w="108" w:type="dxa"/>
          </w:tblCellMar>
        </w:tblPrEx>
        <w:trPr>
          <w:trHeight w:val="806"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能源与资源投入（11）</w:t>
            </w:r>
          </w:p>
        </w:tc>
        <w:tc>
          <w:tcPr>
            <w:tcW w:w="1183"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采购</w:t>
            </w:r>
          </w:p>
        </w:tc>
        <w:tc>
          <w:tcPr>
            <w:tcW w:w="5343"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工厂应制定并实施包括环保要求的选择、评价和重新评价供方的准则，确保供方能够提供符合工厂环保要求的材料、元器件、部件或组件。</w:t>
            </w:r>
          </w:p>
        </w:tc>
        <w:tc>
          <w:tcPr>
            <w:tcW w:w="1267"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2</w:t>
            </w:r>
          </w:p>
        </w:tc>
        <w:tc>
          <w:tcPr>
            <w:tcW w:w="4545" w:type="dxa"/>
            <w:tcBorders>
              <w:top w:val="nil"/>
              <w:left w:val="nil"/>
              <w:bottom w:val="single" w:color="auto" w:sz="4" w:space="0"/>
              <w:right w:val="single" w:color="auto" w:sz="4" w:space="0"/>
            </w:tcBorders>
            <w:vAlign w:val="center"/>
          </w:tcPr>
          <w:p>
            <w:pPr>
              <w:widowControl/>
              <w:spacing w:line="280" w:lineRule="exact"/>
              <w:rPr>
                <w:rFonts w:ascii="仿宋_GB2312" w:eastAsia="仿宋_GB2312" w:cs="宋体"/>
                <w:color w:val="000000"/>
                <w:kern w:val="0"/>
                <w:szCs w:val="21"/>
              </w:rPr>
            </w:pPr>
            <w:r>
              <w:rPr>
                <w:rFonts w:hint="eastAsia" w:ascii="仿宋_GB2312" w:eastAsia="仿宋_GB2312" w:cs="宋体"/>
                <w:color w:val="000000"/>
                <w:kern w:val="0"/>
                <w:szCs w:val="21"/>
              </w:rPr>
              <w:t>提供程序文件中有明确环保要求的相关材料。符合要求得2分。</w:t>
            </w:r>
          </w:p>
        </w:tc>
      </w:tr>
      <w:tr>
        <w:tblPrEx>
          <w:tblLayout w:type="fixed"/>
          <w:tblCellMar>
            <w:top w:w="0" w:type="dxa"/>
            <w:left w:w="108" w:type="dxa"/>
            <w:bottom w:w="0" w:type="dxa"/>
            <w:right w:w="108" w:type="dxa"/>
          </w:tblCellMar>
        </w:tblPrEx>
        <w:trPr>
          <w:trHeight w:val="896" w:hRule="atLeast"/>
          <w:jc w:val="center"/>
        </w:trPr>
        <w:tc>
          <w:tcPr>
            <w:tcW w:w="1271"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产品（11）</w:t>
            </w:r>
          </w:p>
        </w:tc>
        <w:tc>
          <w:tcPr>
            <w:tcW w:w="1183"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生态设计</w:t>
            </w:r>
          </w:p>
        </w:tc>
        <w:tc>
          <w:tcPr>
            <w:tcW w:w="5343"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工厂在产品设计中引入生态设计的理念。</w:t>
            </w:r>
          </w:p>
        </w:tc>
        <w:tc>
          <w:tcPr>
            <w:tcW w:w="1267"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4</w:t>
            </w:r>
          </w:p>
        </w:tc>
        <w:tc>
          <w:tcPr>
            <w:tcW w:w="4545" w:type="dxa"/>
            <w:tcBorders>
              <w:top w:val="nil"/>
              <w:left w:val="nil"/>
              <w:bottom w:val="single" w:color="auto" w:sz="4" w:space="0"/>
              <w:right w:val="single" w:color="auto" w:sz="4" w:space="0"/>
            </w:tcBorders>
            <w:vAlign w:val="center"/>
          </w:tcPr>
          <w:p>
            <w:pPr>
              <w:widowControl/>
              <w:spacing w:line="280" w:lineRule="exact"/>
              <w:rPr>
                <w:rFonts w:hint="eastAsia" w:ascii="仿宋_GB2312" w:eastAsia="仿宋_GB2312" w:cs="宋体"/>
                <w:color w:val="000000"/>
                <w:kern w:val="0"/>
                <w:szCs w:val="21"/>
              </w:rPr>
            </w:pPr>
            <w:r>
              <w:rPr>
                <w:rFonts w:hint="eastAsia" w:ascii="仿宋_GB2312" w:eastAsia="仿宋_GB2312" w:cs="宋体"/>
                <w:color w:val="000000"/>
                <w:kern w:val="0"/>
                <w:szCs w:val="21"/>
              </w:rPr>
              <w:t>对产品结构、性能、工艺等明确具有生态化设计（提供详细材料）得3分；入选工信部绿色设计产品或入选绿色设计示范企业得4分。</w:t>
            </w:r>
          </w:p>
        </w:tc>
      </w:tr>
      <w:tr>
        <w:tblPrEx>
          <w:tblLayout w:type="fixed"/>
          <w:tblCellMar>
            <w:top w:w="0" w:type="dxa"/>
            <w:left w:w="108" w:type="dxa"/>
            <w:bottom w:w="0" w:type="dxa"/>
            <w:right w:w="108" w:type="dxa"/>
          </w:tblCellMar>
        </w:tblPrEx>
        <w:trPr>
          <w:trHeight w:val="1070" w:hRule="atLeast"/>
          <w:jc w:val="center"/>
        </w:trPr>
        <w:tc>
          <w:tcPr>
            <w:tcW w:w="127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eastAsia="仿宋_GB2312" w:cs="宋体"/>
                <w:color w:val="000000"/>
                <w:kern w:val="0"/>
                <w:szCs w:val="21"/>
              </w:rPr>
            </w:pPr>
          </w:p>
        </w:tc>
        <w:tc>
          <w:tcPr>
            <w:tcW w:w="1183"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有害物质使用</w:t>
            </w:r>
          </w:p>
        </w:tc>
        <w:tc>
          <w:tcPr>
            <w:tcW w:w="5343"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工厂生产的产品（包括原料和辅料）应控制、减少有害物质的使用量，并满足国家对产品中有害物质限制使用的要求。</w:t>
            </w:r>
          </w:p>
        </w:tc>
        <w:tc>
          <w:tcPr>
            <w:tcW w:w="1267"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4</w:t>
            </w:r>
          </w:p>
        </w:tc>
        <w:tc>
          <w:tcPr>
            <w:tcW w:w="4545" w:type="dxa"/>
            <w:tcBorders>
              <w:top w:val="nil"/>
              <w:left w:val="nil"/>
              <w:bottom w:val="single" w:color="auto" w:sz="4" w:space="0"/>
              <w:right w:val="single" w:color="auto" w:sz="4" w:space="0"/>
            </w:tcBorders>
            <w:vAlign w:val="center"/>
          </w:tcPr>
          <w:p>
            <w:pPr>
              <w:widowControl/>
              <w:spacing w:line="280" w:lineRule="exact"/>
              <w:rPr>
                <w:rFonts w:ascii="仿宋_GB2312" w:eastAsia="仿宋_GB2312" w:cs="宋体"/>
                <w:color w:val="000000"/>
                <w:kern w:val="0"/>
                <w:szCs w:val="21"/>
              </w:rPr>
            </w:pPr>
            <w:r>
              <w:rPr>
                <w:rFonts w:hint="eastAsia" w:ascii="仿宋_GB2312" w:eastAsia="仿宋_GB2312" w:cs="宋体"/>
                <w:color w:val="000000"/>
                <w:kern w:val="0"/>
                <w:szCs w:val="21"/>
              </w:rPr>
              <w:t>提供产品或原辅料有害物质限量检测报告，产品（包括原料和辅料）满足有害物质限制使用要求得3分；且有减少或替代有害物质使用措施的得4分。</w:t>
            </w:r>
          </w:p>
        </w:tc>
      </w:tr>
      <w:tr>
        <w:tblPrEx>
          <w:tblLayout w:type="fixed"/>
          <w:tblCellMar>
            <w:top w:w="0" w:type="dxa"/>
            <w:left w:w="108" w:type="dxa"/>
            <w:bottom w:w="0" w:type="dxa"/>
            <w:right w:w="108" w:type="dxa"/>
          </w:tblCellMar>
        </w:tblPrEx>
        <w:trPr>
          <w:trHeight w:val="340" w:hRule="atLeast"/>
          <w:jc w:val="center"/>
        </w:trPr>
        <w:tc>
          <w:tcPr>
            <w:tcW w:w="127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eastAsia="仿宋_GB2312" w:cs="宋体"/>
                <w:color w:val="000000"/>
                <w:kern w:val="0"/>
                <w:szCs w:val="21"/>
              </w:rPr>
            </w:pPr>
          </w:p>
        </w:tc>
        <w:tc>
          <w:tcPr>
            <w:tcW w:w="1183"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节能</w:t>
            </w:r>
          </w:p>
        </w:tc>
        <w:tc>
          <w:tcPr>
            <w:tcW w:w="5343"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工厂生产的产品若为用能产品，应满足相关产品的国家、行业或地方发布的产品能效标准中的限定值要求，未制定产品能效标准的，产品能效应不低于行业平均值。</w:t>
            </w:r>
          </w:p>
        </w:tc>
        <w:tc>
          <w:tcPr>
            <w:tcW w:w="1267"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3</w:t>
            </w:r>
          </w:p>
        </w:tc>
        <w:tc>
          <w:tcPr>
            <w:tcW w:w="4545" w:type="dxa"/>
            <w:tcBorders>
              <w:top w:val="nil"/>
              <w:left w:val="nil"/>
              <w:bottom w:val="single" w:color="auto" w:sz="4" w:space="0"/>
              <w:right w:val="single" w:color="auto" w:sz="4" w:space="0"/>
            </w:tcBorders>
            <w:vAlign w:val="center"/>
          </w:tcPr>
          <w:p>
            <w:pPr>
              <w:widowControl/>
              <w:spacing w:line="280" w:lineRule="exact"/>
              <w:rPr>
                <w:rFonts w:hint="eastAsia" w:ascii="仿宋_GB2312" w:eastAsia="仿宋_GB2312" w:cs="宋体"/>
                <w:color w:val="000000"/>
                <w:kern w:val="0"/>
                <w:szCs w:val="21"/>
              </w:rPr>
            </w:pPr>
            <w:r>
              <w:rPr>
                <w:rFonts w:hint="eastAsia" w:ascii="仿宋_GB2312" w:eastAsia="仿宋_GB2312" w:cs="宋体"/>
                <w:color w:val="000000"/>
                <w:kern w:val="0"/>
                <w:szCs w:val="21"/>
              </w:rPr>
              <w:t>产品为用能产品，能效满足产品标准限定值或不低于行业平均值（行业平均值可由权威的第三方提供）得2分，达到先进值得3分。不适用时给满分。</w:t>
            </w:r>
          </w:p>
        </w:tc>
      </w:tr>
      <w:tr>
        <w:tblPrEx>
          <w:tblLayout w:type="fixed"/>
          <w:tblCellMar>
            <w:top w:w="0" w:type="dxa"/>
            <w:left w:w="108" w:type="dxa"/>
            <w:bottom w:w="0" w:type="dxa"/>
            <w:right w:w="108" w:type="dxa"/>
          </w:tblCellMar>
        </w:tblPrEx>
        <w:trPr>
          <w:trHeight w:val="1284" w:hRule="atLeast"/>
          <w:jc w:val="center"/>
        </w:trPr>
        <w:tc>
          <w:tcPr>
            <w:tcW w:w="127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环境污染排放（</w:t>
            </w:r>
            <w:r>
              <w:rPr>
                <w:rFonts w:ascii="仿宋_GB2312" w:eastAsia="仿宋_GB2312" w:cs="宋体"/>
                <w:color w:val="000000"/>
                <w:kern w:val="0"/>
                <w:szCs w:val="21"/>
              </w:rPr>
              <w:t>20）</w:t>
            </w:r>
          </w:p>
        </w:tc>
        <w:tc>
          <w:tcPr>
            <w:tcW w:w="1183"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大气</w:t>
            </w:r>
          </w:p>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污染物</w:t>
            </w:r>
          </w:p>
        </w:tc>
        <w:tc>
          <w:tcPr>
            <w:tcW w:w="5343"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工厂应根据大气污染物性质，做好大气污染物的分类收集和治理，大气污染物排放浓度及排放总量应符合国家、地方污染物标准或规章要求和主要污染物排放总量控制规定。</w:t>
            </w:r>
          </w:p>
        </w:tc>
        <w:tc>
          <w:tcPr>
            <w:tcW w:w="1267"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4</w:t>
            </w:r>
          </w:p>
        </w:tc>
        <w:tc>
          <w:tcPr>
            <w:tcW w:w="4545" w:type="dxa"/>
            <w:tcBorders>
              <w:top w:val="nil"/>
              <w:left w:val="nil"/>
              <w:bottom w:val="single" w:color="auto" w:sz="4" w:space="0"/>
              <w:right w:val="single" w:color="auto" w:sz="4" w:space="0"/>
            </w:tcBorders>
            <w:vAlign w:val="center"/>
          </w:tcPr>
          <w:p>
            <w:pPr>
              <w:widowControl/>
              <w:spacing w:line="280" w:lineRule="exact"/>
              <w:rPr>
                <w:rFonts w:hint="eastAsia" w:ascii="仿宋_GB2312" w:eastAsia="仿宋_GB2312" w:cs="宋体"/>
                <w:color w:val="000000"/>
                <w:kern w:val="0"/>
                <w:szCs w:val="21"/>
              </w:rPr>
            </w:pPr>
            <w:r>
              <w:rPr>
                <w:rFonts w:hint="eastAsia" w:ascii="仿宋_GB2312" w:eastAsia="仿宋_GB2312" w:cs="宋体"/>
                <w:color w:val="000000"/>
                <w:kern w:val="0"/>
                <w:szCs w:val="21"/>
              </w:rPr>
              <w:t>提供最新的有效第三方检测报告（近两年内），有排放总量要求的需提供排污许可证、评价年度排放总量计算过程或排污许可证执行年报。排放符合要求的，得4分。检测结果或排放总量不符合要求，不得分。</w:t>
            </w:r>
          </w:p>
        </w:tc>
      </w:tr>
      <w:tr>
        <w:tblPrEx>
          <w:tblLayout w:type="fixed"/>
          <w:tblCellMar>
            <w:top w:w="0" w:type="dxa"/>
            <w:left w:w="108" w:type="dxa"/>
            <w:bottom w:w="0" w:type="dxa"/>
            <w:right w:w="108" w:type="dxa"/>
          </w:tblCellMar>
        </w:tblPrEx>
        <w:trPr>
          <w:trHeight w:val="1234" w:hRule="atLeast"/>
          <w:jc w:val="center"/>
        </w:trPr>
        <w:tc>
          <w:tcPr>
            <w:tcW w:w="12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eastAsia="仿宋_GB2312" w:cs="宋体"/>
                <w:color w:val="000000"/>
                <w:kern w:val="0"/>
                <w:szCs w:val="21"/>
              </w:rPr>
            </w:pPr>
          </w:p>
        </w:tc>
        <w:tc>
          <w:tcPr>
            <w:tcW w:w="1183"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水体</w:t>
            </w:r>
          </w:p>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污染物</w:t>
            </w:r>
          </w:p>
        </w:tc>
        <w:tc>
          <w:tcPr>
            <w:tcW w:w="5343"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工厂应根据废水污染物特性，做好废水分类、收集和治理，废水污染物排放浓度及排放总量应符合国家、地方污染物排放标准要求和主要污染物排放总量控制规定。</w:t>
            </w:r>
          </w:p>
        </w:tc>
        <w:tc>
          <w:tcPr>
            <w:tcW w:w="1267"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4</w:t>
            </w:r>
          </w:p>
        </w:tc>
        <w:tc>
          <w:tcPr>
            <w:tcW w:w="4545" w:type="dxa"/>
            <w:tcBorders>
              <w:top w:val="nil"/>
              <w:left w:val="nil"/>
              <w:bottom w:val="single" w:color="auto" w:sz="4" w:space="0"/>
              <w:right w:val="single" w:color="auto" w:sz="4" w:space="0"/>
            </w:tcBorders>
            <w:vAlign w:val="center"/>
          </w:tcPr>
          <w:p>
            <w:pPr>
              <w:widowControl/>
              <w:spacing w:line="280" w:lineRule="exact"/>
              <w:rPr>
                <w:rFonts w:hint="eastAsia" w:ascii="仿宋_GB2312" w:eastAsia="仿宋_GB2312" w:cs="宋体"/>
                <w:color w:val="000000"/>
                <w:kern w:val="0"/>
                <w:szCs w:val="21"/>
              </w:rPr>
            </w:pPr>
            <w:r>
              <w:rPr>
                <w:rFonts w:hint="eastAsia" w:ascii="仿宋_GB2312" w:eastAsia="仿宋_GB2312" w:cs="宋体"/>
                <w:color w:val="000000"/>
                <w:kern w:val="0"/>
                <w:szCs w:val="21"/>
              </w:rPr>
              <w:t>提供最新的有效第三方检测报告（近两年内），有排放总量要求的需提供排污许可证、评价年度排放总量计算过程或排污许可证执行年报。排放符合要求，得4分。检测结果或排放总量不符合要求的，不得分。</w:t>
            </w:r>
          </w:p>
        </w:tc>
      </w:tr>
      <w:tr>
        <w:tblPrEx>
          <w:tblLayout w:type="fixed"/>
          <w:tblCellMar>
            <w:top w:w="0" w:type="dxa"/>
            <w:left w:w="108" w:type="dxa"/>
            <w:bottom w:w="0" w:type="dxa"/>
            <w:right w:w="108" w:type="dxa"/>
          </w:tblCellMar>
        </w:tblPrEx>
        <w:trPr>
          <w:trHeight w:val="1037" w:hRule="atLeast"/>
          <w:jc w:val="center"/>
        </w:trPr>
        <w:tc>
          <w:tcPr>
            <w:tcW w:w="12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eastAsia="仿宋_GB2312" w:cs="宋体"/>
                <w:color w:val="000000"/>
                <w:kern w:val="0"/>
                <w:szCs w:val="21"/>
              </w:rPr>
            </w:pPr>
          </w:p>
        </w:tc>
        <w:tc>
          <w:tcPr>
            <w:tcW w:w="1183"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固体</w:t>
            </w:r>
          </w:p>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废弃物</w:t>
            </w:r>
          </w:p>
        </w:tc>
        <w:tc>
          <w:tcPr>
            <w:tcW w:w="5343"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工厂产生固体废弃物的处理（暂存）应符合GB18599、GB18597等相关标准要求。工厂无法自行处理的，应将固体废弃物转交给具备相应能力和资质专业公司进行</w:t>
            </w:r>
            <w:r>
              <w:rPr>
                <w:rFonts w:hint="eastAsia" w:ascii="仿宋_GB2312" w:eastAsia="仿宋_GB2312" w:cs="宋体"/>
                <w:color w:val="000000"/>
                <w:kern w:val="0"/>
                <w:szCs w:val="21"/>
                <w:lang w:eastAsia="zh-CN"/>
              </w:rPr>
              <w:t>处理</w:t>
            </w:r>
          </w:p>
        </w:tc>
        <w:tc>
          <w:tcPr>
            <w:tcW w:w="1267"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5</w:t>
            </w:r>
          </w:p>
        </w:tc>
        <w:tc>
          <w:tcPr>
            <w:tcW w:w="4545" w:type="dxa"/>
            <w:tcBorders>
              <w:top w:val="nil"/>
              <w:left w:val="nil"/>
              <w:bottom w:val="single" w:color="auto" w:sz="4" w:space="0"/>
              <w:right w:val="single" w:color="auto" w:sz="4" w:space="0"/>
            </w:tcBorders>
            <w:vAlign w:val="center"/>
          </w:tcPr>
          <w:p>
            <w:pPr>
              <w:widowControl/>
              <w:spacing w:line="280" w:lineRule="exact"/>
              <w:rPr>
                <w:rFonts w:hint="eastAsia" w:ascii="仿宋_GB2312" w:eastAsia="仿宋_GB2312" w:cs="宋体"/>
                <w:color w:val="000000"/>
                <w:kern w:val="0"/>
                <w:szCs w:val="21"/>
              </w:rPr>
            </w:pPr>
            <w:r>
              <w:rPr>
                <w:rFonts w:hint="eastAsia" w:ascii="仿宋_GB2312" w:eastAsia="仿宋_GB2312" w:cs="宋体"/>
                <w:color w:val="000000"/>
                <w:kern w:val="0"/>
                <w:szCs w:val="21"/>
              </w:rPr>
              <w:t>提供有效委外处置合同和危废转移联单。符合要求的得</w:t>
            </w:r>
            <w:r>
              <w:rPr>
                <w:rFonts w:ascii="仿宋_GB2312" w:eastAsia="仿宋_GB2312" w:cs="宋体"/>
                <w:color w:val="000000"/>
                <w:kern w:val="0"/>
                <w:szCs w:val="21"/>
              </w:rPr>
              <w:t>4</w:t>
            </w:r>
            <w:r>
              <w:rPr>
                <w:rFonts w:hint="eastAsia" w:ascii="仿宋_GB2312" w:eastAsia="仿宋_GB2312" w:cs="宋体"/>
                <w:color w:val="000000"/>
                <w:kern w:val="0"/>
                <w:szCs w:val="21"/>
              </w:rPr>
              <w:t>分；且危废类别和处置量符合企业实际的得5分。</w:t>
            </w:r>
          </w:p>
        </w:tc>
      </w:tr>
      <w:tr>
        <w:tblPrEx>
          <w:tblLayout w:type="fixed"/>
          <w:tblCellMar>
            <w:top w:w="0" w:type="dxa"/>
            <w:left w:w="108" w:type="dxa"/>
            <w:bottom w:w="0" w:type="dxa"/>
            <w:right w:w="108" w:type="dxa"/>
          </w:tblCellMar>
        </w:tblPrEx>
        <w:trPr>
          <w:trHeight w:val="340" w:hRule="atLeast"/>
          <w:jc w:val="center"/>
        </w:trPr>
        <w:tc>
          <w:tcPr>
            <w:tcW w:w="12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eastAsia="仿宋_GB2312" w:cs="宋体"/>
                <w:color w:val="000000"/>
                <w:kern w:val="0"/>
                <w:szCs w:val="21"/>
              </w:rPr>
            </w:pPr>
          </w:p>
        </w:tc>
        <w:tc>
          <w:tcPr>
            <w:tcW w:w="1183"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噪声</w:t>
            </w:r>
          </w:p>
        </w:tc>
        <w:tc>
          <w:tcPr>
            <w:tcW w:w="5343"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工厂的厂界环境噪声排放应符合国家相关标准要求。</w:t>
            </w:r>
          </w:p>
        </w:tc>
        <w:tc>
          <w:tcPr>
            <w:tcW w:w="1267"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3</w:t>
            </w:r>
          </w:p>
        </w:tc>
        <w:tc>
          <w:tcPr>
            <w:tcW w:w="4545" w:type="dxa"/>
            <w:tcBorders>
              <w:top w:val="nil"/>
              <w:left w:val="nil"/>
              <w:bottom w:val="single" w:color="auto" w:sz="4" w:space="0"/>
              <w:right w:val="single" w:color="auto" w:sz="4" w:space="0"/>
            </w:tcBorders>
            <w:vAlign w:val="center"/>
          </w:tcPr>
          <w:p>
            <w:pPr>
              <w:widowControl/>
              <w:spacing w:line="280" w:lineRule="exact"/>
              <w:rPr>
                <w:rFonts w:hint="eastAsia" w:ascii="仿宋_GB2312" w:eastAsia="仿宋_GB2312" w:cs="宋体"/>
                <w:color w:val="000000"/>
                <w:kern w:val="0"/>
                <w:szCs w:val="21"/>
              </w:rPr>
            </w:pPr>
            <w:r>
              <w:rPr>
                <w:rFonts w:hint="eastAsia" w:ascii="仿宋_GB2312" w:eastAsia="仿宋_GB2312" w:cs="宋体"/>
                <w:color w:val="000000"/>
                <w:kern w:val="0"/>
                <w:szCs w:val="21"/>
              </w:rPr>
              <w:t>提供最新的有效第三方检测报告（近两年内）。符合要求得3分。</w:t>
            </w:r>
          </w:p>
        </w:tc>
      </w:tr>
      <w:tr>
        <w:tblPrEx>
          <w:tblLayout w:type="fixed"/>
          <w:tblCellMar>
            <w:top w:w="0" w:type="dxa"/>
            <w:left w:w="108" w:type="dxa"/>
            <w:bottom w:w="0" w:type="dxa"/>
            <w:right w:w="108" w:type="dxa"/>
          </w:tblCellMar>
        </w:tblPrEx>
        <w:trPr>
          <w:trHeight w:val="34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环境污染排放（</w:t>
            </w:r>
            <w:r>
              <w:rPr>
                <w:rFonts w:ascii="仿宋_GB2312" w:eastAsia="仿宋_GB2312" w:cs="宋体"/>
                <w:color w:val="000000"/>
                <w:kern w:val="0"/>
                <w:szCs w:val="21"/>
              </w:rPr>
              <w:t>20）</w:t>
            </w:r>
          </w:p>
        </w:tc>
        <w:tc>
          <w:tcPr>
            <w:tcW w:w="118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温室气体</w:t>
            </w:r>
          </w:p>
        </w:tc>
        <w:tc>
          <w:tcPr>
            <w:tcW w:w="5343"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工厂应采用GB/T32150或适用的标准或规范对其厂界范围内的温室气体排放进行核算。</w:t>
            </w:r>
          </w:p>
        </w:tc>
        <w:tc>
          <w:tcPr>
            <w:tcW w:w="1267"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4</w:t>
            </w:r>
          </w:p>
        </w:tc>
        <w:tc>
          <w:tcPr>
            <w:tcW w:w="4545" w:type="dxa"/>
            <w:tcBorders>
              <w:top w:val="nil"/>
              <w:left w:val="nil"/>
              <w:bottom w:val="single" w:color="auto" w:sz="4" w:space="0"/>
              <w:right w:val="single" w:color="auto" w:sz="4" w:space="0"/>
            </w:tcBorders>
            <w:shd w:val="clear" w:color="000000" w:fill="FFFFFF"/>
            <w:vAlign w:val="center"/>
          </w:tcPr>
          <w:p>
            <w:pPr>
              <w:widowControl/>
              <w:spacing w:line="260" w:lineRule="exact"/>
              <w:rPr>
                <w:rFonts w:hint="eastAsia" w:ascii="仿宋_GB2312" w:eastAsia="仿宋_GB2312" w:cs="宋体"/>
                <w:color w:val="000000"/>
                <w:kern w:val="0"/>
                <w:szCs w:val="21"/>
              </w:rPr>
            </w:pPr>
            <w:r>
              <w:rPr>
                <w:rFonts w:hint="eastAsia" w:ascii="仿宋_GB2312" w:eastAsia="仿宋_GB2312" w:cs="宋体"/>
                <w:color w:val="000000"/>
                <w:kern w:val="0"/>
                <w:szCs w:val="21"/>
              </w:rPr>
              <w:t>提供最新的有效温室气体排放报告或温室气体排放核查报告（近两年内）。提供企业温室气体排放报告的得3分；提供第三方核查报告的得4分。（备注：温室气体排放核算参照相应行业的温室气体核算方法与报告指南；热力与电力“排放因子”分别取0.095tCO</w:t>
            </w:r>
            <w:r>
              <w:rPr>
                <w:rFonts w:hint="eastAsia" w:ascii="仿宋_GB2312" w:eastAsia="仿宋_GB2312" w:cs="宋体"/>
                <w:color w:val="000000"/>
                <w:kern w:val="0"/>
                <w:szCs w:val="21"/>
                <w:vertAlign w:val="subscript"/>
              </w:rPr>
              <w:t>2</w:t>
            </w:r>
            <w:r>
              <w:rPr>
                <w:rFonts w:hint="eastAsia" w:ascii="仿宋_GB2312" w:eastAsia="仿宋_GB2312" w:cs="宋体"/>
                <w:color w:val="000000"/>
                <w:kern w:val="0"/>
                <w:szCs w:val="21"/>
              </w:rPr>
              <w:t>/GJ和0.64kgCO</w:t>
            </w:r>
            <w:r>
              <w:rPr>
                <w:rFonts w:hint="eastAsia" w:ascii="仿宋_GB2312" w:eastAsia="仿宋_GB2312" w:cs="宋体"/>
                <w:color w:val="000000"/>
                <w:kern w:val="0"/>
                <w:szCs w:val="21"/>
                <w:vertAlign w:val="subscript"/>
              </w:rPr>
              <w:t>2</w:t>
            </w:r>
            <w:r>
              <w:rPr>
                <w:rFonts w:hint="eastAsia" w:ascii="仿宋_GB2312" w:eastAsia="仿宋_GB2312" w:cs="宋体"/>
                <w:color w:val="000000"/>
                <w:kern w:val="0"/>
                <w:szCs w:val="21"/>
              </w:rPr>
              <w:t>/MWh，若宁波市有统一公布更新指标，从其规定。）</w:t>
            </w:r>
          </w:p>
        </w:tc>
      </w:tr>
      <w:tr>
        <w:tblPrEx>
          <w:tblLayout w:type="fixed"/>
          <w:tblCellMar>
            <w:top w:w="0" w:type="dxa"/>
            <w:left w:w="108" w:type="dxa"/>
            <w:bottom w:w="0" w:type="dxa"/>
            <w:right w:w="108" w:type="dxa"/>
          </w:tblCellMar>
        </w:tblPrEx>
        <w:trPr>
          <w:trHeight w:val="340" w:hRule="atLeast"/>
          <w:jc w:val="center"/>
        </w:trPr>
        <w:tc>
          <w:tcPr>
            <w:tcW w:w="1271"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绩效（25）</w:t>
            </w:r>
          </w:p>
        </w:tc>
        <w:tc>
          <w:tcPr>
            <w:tcW w:w="1183"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用地</w:t>
            </w:r>
          </w:p>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集约化</w:t>
            </w:r>
          </w:p>
        </w:tc>
        <w:tc>
          <w:tcPr>
            <w:tcW w:w="5343"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工厂容积率、建筑密度不低于《工业项目建设用地控制指标》要求。</w:t>
            </w:r>
          </w:p>
        </w:tc>
        <w:tc>
          <w:tcPr>
            <w:tcW w:w="1267"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5</w:t>
            </w:r>
          </w:p>
        </w:tc>
        <w:tc>
          <w:tcPr>
            <w:tcW w:w="4545" w:type="dxa"/>
            <w:tcBorders>
              <w:top w:val="nil"/>
              <w:left w:val="nil"/>
              <w:bottom w:val="single" w:color="auto" w:sz="4" w:space="0"/>
              <w:right w:val="single" w:color="auto" w:sz="4" w:space="0"/>
            </w:tcBorders>
            <w:vAlign w:val="center"/>
          </w:tcPr>
          <w:p>
            <w:pPr>
              <w:widowControl/>
              <w:spacing w:line="260" w:lineRule="exact"/>
              <w:rPr>
                <w:rFonts w:ascii="仿宋_GB2312" w:eastAsia="仿宋_GB2312" w:cs="宋体"/>
                <w:color w:val="000000"/>
                <w:kern w:val="0"/>
                <w:szCs w:val="21"/>
              </w:rPr>
            </w:pPr>
            <w:r>
              <w:rPr>
                <w:rFonts w:hint="eastAsia" w:ascii="仿宋_GB2312" w:eastAsia="仿宋_GB2312" w:cs="宋体"/>
                <w:color w:val="000000"/>
                <w:kern w:val="0"/>
                <w:szCs w:val="21"/>
              </w:rPr>
              <w:t>容积率达到规定要求得2分；达到1.5倍及以上得3分；低于要求的不得分。建筑密度不低于30%得1分；达到40%得2分；低于要求不得分。</w:t>
            </w:r>
          </w:p>
        </w:tc>
      </w:tr>
      <w:tr>
        <w:tblPrEx>
          <w:tblLayout w:type="fixed"/>
          <w:tblCellMar>
            <w:top w:w="0" w:type="dxa"/>
            <w:left w:w="108" w:type="dxa"/>
            <w:bottom w:w="0" w:type="dxa"/>
            <w:right w:w="108" w:type="dxa"/>
          </w:tblCellMar>
        </w:tblPrEx>
        <w:trPr>
          <w:trHeight w:val="340" w:hRule="atLeast"/>
          <w:jc w:val="center"/>
        </w:trPr>
        <w:tc>
          <w:tcPr>
            <w:tcW w:w="1271"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仿宋_GB2312" w:eastAsia="仿宋_GB2312" w:cs="宋体"/>
                <w:color w:val="000000"/>
                <w:kern w:val="0"/>
                <w:szCs w:val="21"/>
              </w:rPr>
            </w:pPr>
          </w:p>
        </w:tc>
        <w:tc>
          <w:tcPr>
            <w:tcW w:w="1183"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资源</w:t>
            </w:r>
          </w:p>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高效化</w:t>
            </w:r>
          </w:p>
        </w:tc>
        <w:tc>
          <w:tcPr>
            <w:tcW w:w="5343"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fldChar w:fldCharType="begin"/>
            </w:r>
            <w:r>
              <w:rPr>
                <w:rFonts w:hint="eastAsia" w:ascii="仿宋_GB2312" w:eastAsia="仿宋_GB2312" w:cs="宋体"/>
                <w:color w:val="000000"/>
                <w:kern w:val="0"/>
                <w:szCs w:val="21"/>
              </w:rPr>
              <w:instrText xml:space="preserve"> HYPERLINK "http://www.baidu.com/link?url=VGe4dgYN9FaKCUlDrpEsb4MENcA4uZShRRIaMIwX0HuT528NGIYFuRhpkDMCNupKtIjslCiLRlfZR6RTxkw_ZhQYdjqR6-vWiQ3Er8aqaDi" \t "/home/huawei/Documentsx/_blank" </w:instrText>
            </w:r>
            <w:r>
              <w:rPr>
                <w:rFonts w:hint="eastAsia" w:ascii="仿宋_GB2312" w:eastAsia="仿宋_GB2312" w:cs="宋体"/>
                <w:color w:val="000000"/>
                <w:kern w:val="0"/>
                <w:szCs w:val="21"/>
              </w:rPr>
              <w:fldChar w:fldCharType="separate"/>
            </w:r>
            <w:r>
              <w:rPr>
                <w:rFonts w:hint="eastAsia" w:ascii="仿宋_GB2312" w:eastAsia="仿宋_GB2312" w:cs="宋体"/>
                <w:color w:val="000000"/>
                <w:kern w:val="0"/>
                <w:szCs w:val="21"/>
              </w:rPr>
              <w:t>产品取水量应满足《浙江省用(取)水定额(2019年)》中对应的取水定额要求。</w:t>
            </w:r>
            <w:r>
              <w:rPr>
                <w:rFonts w:hint="eastAsia" w:ascii="仿宋_GB2312" w:eastAsia="仿宋_GB2312" w:cs="宋体"/>
                <w:color w:val="000000"/>
                <w:kern w:val="0"/>
                <w:szCs w:val="21"/>
              </w:rPr>
              <w:fldChar w:fldCharType="end"/>
            </w:r>
          </w:p>
        </w:tc>
        <w:tc>
          <w:tcPr>
            <w:tcW w:w="1267"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6</w:t>
            </w:r>
          </w:p>
        </w:tc>
        <w:tc>
          <w:tcPr>
            <w:tcW w:w="4545" w:type="dxa"/>
            <w:tcBorders>
              <w:top w:val="nil"/>
              <w:left w:val="nil"/>
              <w:bottom w:val="single" w:color="auto" w:sz="4" w:space="0"/>
              <w:right w:val="single" w:color="auto" w:sz="4" w:space="0"/>
            </w:tcBorders>
            <w:vAlign w:val="center"/>
          </w:tcPr>
          <w:p>
            <w:pPr>
              <w:widowControl/>
              <w:spacing w:line="260" w:lineRule="exact"/>
              <w:rPr>
                <w:rFonts w:hint="eastAsia" w:ascii="仿宋_GB2312" w:eastAsia="仿宋_GB2312" w:cs="宋体"/>
                <w:color w:val="000000"/>
                <w:kern w:val="0"/>
                <w:szCs w:val="21"/>
              </w:rPr>
            </w:pPr>
            <w:r>
              <w:rPr>
                <w:rFonts w:hint="eastAsia" w:ascii="仿宋_GB2312" w:eastAsia="仿宋_GB2312" w:cs="宋体"/>
                <w:color w:val="000000"/>
                <w:kern w:val="0"/>
                <w:szCs w:val="21"/>
              </w:rPr>
              <w:t>产品取水量达到省通用值得4分；达到先进值得6分；未达到通用值的不得分（《浙江省用(取)水定额(2019年)》中无要求的，产值水耗或增加值水耗达到《宁波市工业产业能效》中行业平均水平的得4分；优于20%的得6分；未达到平均水平的不得分。）。</w:t>
            </w:r>
          </w:p>
        </w:tc>
      </w:tr>
      <w:tr>
        <w:tblPrEx>
          <w:tblLayout w:type="fixed"/>
          <w:tblCellMar>
            <w:top w:w="0" w:type="dxa"/>
            <w:left w:w="108" w:type="dxa"/>
            <w:bottom w:w="0" w:type="dxa"/>
            <w:right w:w="108" w:type="dxa"/>
          </w:tblCellMar>
        </w:tblPrEx>
        <w:trPr>
          <w:trHeight w:val="340" w:hRule="atLeast"/>
          <w:jc w:val="center"/>
        </w:trPr>
        <w:tc>
          <w:tcPr>
            <w:tcW w:w="1271"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仿宋_GB2312" w:eastAsia="仿宋_GB2312" w:cs="宋体"/>
                <w:color w:val="000000"/>
                <w:kern w:val="0"/>
                <w:szCs w:val="21"/>
              </w:rPr>
            </w:pPr>
          </w:p>
        </w:tc>
        <w:tc>
          <w:tcPr>
            <w:tcW w:w="1183"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废物</w:t>
            </w:r>
          </w:p>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资源化</w:t>
            </w:r>
          </w:p>
        </w:tc>
        <w:tc>
          <w:tcPr>
            <w:tcW w:w="5343"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工业固体废物处置率达到100%（含委外处理），有综合利用设施的其利用率应大于85%。</w:t>
            </w:r>
          </w:p>
        </w:tc>
        <w:tc>
          <w:tcPr>
            <w:tcW w:w="1267"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6</w:t>
            </w:r>
          </w:p>
        </w:tc>
        <w:tc>
          <w:tcPr>
            <w:tcW w:w="4545" w:type="dxa"/>
            <w:tcBorders>
              <w:top w:val="nil"/>
              <w:left w:val="nil"/>
              <w:bottom w:val="single" w:color="auto" w:sz="4" w:space="0"/>
              <w:right w:val="single" w:color="auto" w:sz="4" w:space="0"/>
            </w:tcBorders>
            <w:vAlign w:val="center"/>
          </w:tcPr>
          <w:p>
            <w:pPr>
              <w:widowControl/>
              <w:spacing w:line="260" w:lineRule="exact"/>
              <w:rPr>
                <w:rFonts w:hint="eastAsia" w:ascii="仿宋_GB2312" w:eastAsia="仿宋_GB2312" w:cs="宋体"/>
                <w:color w:val="000000"/>
                <w:kern w:val="0"/>
                <w:szCs w:val="21"/>
              </w:rPr>
            </w:pPr>
            <w:r>
              <w:rPr>
                <w:rFonts w:hint="eastAsia" w:ascii="仿宋_GB2312" w:eastAsia="仿宋_GB2312" w:cs="宋体"/>
                <w:color w:val="000000"/>
                <w:kern w:val="0"/>
                <w:szCs w:val="21"/>
              </w:rPr>
              <w:t>一般工业固废分类回收的得3分；工业固废100%处置或有综合利用设施且利用率大于85%的得6分。</w:t>
            </w:r>
          </w:p>
        </w:tc>
      </w:tr>
      <w:tr>
        <w:tblPrEx>
          <w:tblLayout w:type="fixed"/>
          <w:tblCellMar>
            <w:top w:w="0" w:type="dxa"/>
            <w:left w:w="108" w:type="dxa"/>
            <w:bottom w:w="0" w:type="dxa"/>
            <w:right w:w="108" w:type="dxa"/>
          </w:tblCellMar>
        </w:tblPrEx>
        <w:trPr>
          <w:trHeight w:val="340" w:hRule="atLeast"/>
          <w:jc w:val="center"/>
        </w:trPr>
        <w:tc>
          <w:tcPr>
            <w:tcW w:w="1271"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仿宋_GB2312" w:eastAsia="仿宋_GB2312" w:cs="宋体"/>
                <w:color w:val="000000"/>
                <w:kern w:val="0"/>
                <w:szCs w:val="21"/>
              </w:rPr>
            </w:pPr>
          </w:p>
        </w:tc>
        <w:tc>
          <w:tcPr>
            <w:tcW w:w="1183"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能源</w:t>
            </w:r>
          </w:p>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低碳化</w:t>
            </w:r>
          </w:p>
        </w:tc>
        <w:tc>
          <w:tcPr>
            <w:tcW w:w="5343"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工业产值能耗应达到市级行业平均水平。</w:t>
            </w:r>
          </w:p>
        </w:tc>
        <w:tc>
          <w:tcPr>
            <w:tcW w:w="1267"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8</w:t>
            </w:r>
          </w:p>
        </w:tc>
        <w:tc>
          <w:tcPr>
            <w:tcW w:w="4545" w:type="dxa"/>
            <w:tcBorders>
              <w:top w:val="nil"/>
              <w:left w:val="nil"/>
              <w:bottom w:val="single" w:color="auto" w:sz="4" w:space="0"/>
              <w:right w:val="single" w:color="auto" w:sz="4" w:space="0"/>
            </w:tcBorders>
            <w:vAlign w:val="center"/>
          </w:tcPr>
          <w:p>
            <w:pPr>
              <w:pStyle w:val="14"/>
              <w:shd w:val="clear" w:color="auto" w:fill="FFFFFF"/>
              <w:spacing w:line="260" w:lineRule="exact"/>
              <w:jc w:val="both"/>
              <w:rPr>
                <w:rFonts w:ascii="仿宋_GB2312" w:eastAsia="仿宋_GB2312" w:cs="宋体"/>
                <w:color w:val="000000"/>
                <w:sz w:val="21"/>
                <w:szCs w:val="21"/>
              </w:rPr>
            </w:pPr>
            <w:r>
              <w:rPr>
                <w:rFonts w:ascii="仿宋_GB2312" w:hAnsi="Times New Roman" w:eastAsia="仿宋_GB2312" w:cs="宋体"/>
                <w:color w:val="000000"/>
                <w:sz w:val="21"/>
                <w:szCs w:val="21"/>
              </w:rPr>
              <w:t>工业产值能耗达到宁波市小类行业平均水平的得6分，优于20%的得8分，未达到平均水平的不得分。企业实际生产涉及多个行业、多道工序，导致与行业平均水平缺少可比性时，可以按工序（产品）能耗或清洁生产标准涉及能耗指标等相关标准规范对标，工序能耗均达到先进值或优于限定值20%及以上的，最高得8分；工序能耗均优于限定值10%及以上的，最高得6分；工序能耗均达到限定值的，最高得4分；工序能耗达不到限定值的，不得分。（行业水平数据可根据《宁波工业产业能效》或者具有权威的第三方如行业协会提供）</w:t>
            </w:r>
          </w:p>
        </w:tc>
      </w:tr>
      <w:tr>
        <w:tblPrEx>
          <w:tblLayout w:type="fixed"/>
          <w:tblCellMar>
            <w:top w:w="0" w:type="dxa"/>
            <w:left w:w="108" w:type="dxa"/>
            <w:bottom w:w="0" w:type="dxa"/>
            <w:right w:w="108" w:type="dxa"/>
          </w:tblCellMar>
        </w:tblPrEx>
        <w:trPr>
          <w:trHeight w:val="340" w:hRule="atLeast"/>
          <w:jc w:val="center"/>
        </w:trPr>
        <w:tc>
          <w:tcPr>
            <w:tcW w:w="1271"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黑体" w:eastAsia="仿宋_GB2312" w:cs="宋体"/>
                <w:b/>
                <w:bCs/>
                <w:color w:val="000000"/>
                <w:kern w:val="0"/>
                <w:szCs w:val="21"/>
              </w:rPr>
            </w:pPr>
          </w:p>
        </w:tc>
        <w:tc>
          <w:tcPr>
            <w:tcW w:w="6526"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黑体" w:hAnsi="黑体" w:eastAsia="黑体" w:cs="宋体"/>
                <w:bCs/>
                <w:color w:val="000000"/>
                <w:kern w:val="0"/>
                <w:szCs w:val="21"/>
              </w:rPr>
            </w:pPr>
            <w:r>
              <w:rPr>
                <w:rFonts w:hint="eastAsia" w:ascii="黑体" w:hAnsi="黑体" w:eastAsia="黑体" w:cs="宋体"/>
                <w:bCs/>
                <w:color w:val="000000"/>
                <w:kern w:val="0"/>
                <w:szCs w:val="21"/>
              </w:rPr>
              <w:t>合计得分</w:t>
            </w:r>
          </w:p>
        </w:tc>
        <w:tc>
          <w:tcPr>
            <w:tcW w:w="1267" w:type="dxa"/>
            <w:tcBorders>
              <w:top w:val="nil"/>
              <w:left w:val="nil"/>
              <w:bottom w:val="single" w:color="auto" w:sz="4" w:space="0"/>
              <w:right w:val="single" w:color="auto" w:sz="4" w:space="0"/>
            </w:tcBorders>
            <w:vAlign w:val="center"/>
          </w:tcPr>
          <w:p>
            <w:pPr>
              <w:widowControl/>
              <w:spacing w:line="300" w:lineRule="exact"/>
              <w:jc w:val="center"/>
              <w:rPr>
                <w:rFonts w:hint="eastAsia" w:ascii="仿宋_GB2312" w:hAnsi="黑体" w:eastAsia="仿宋_GB2312" w:cs="宋体"/>
                <w:b/>
                <w:bCs/>
                <w:color w:val="000000"/>
                <w:kern w:val="0"/>
                <w:szCs w:val="21"/>
              </w:rPr>
            </w:pPr>
            <w:r>
              <w:rPr>
                <w:rFonts w:hint="eastAsia" w:ascii="仿宋_GB2312" w:hAnsi="黑体" w:eastAsia="仿宋_GB2312" w:cs="宋体"/>
                <w:b/>
                <w:bCs/>
                <w:color w:val="000000"/>
                <w:kern w:val="0"/>
                <w:szCs w:val="21"/>
              </w:rPr>
              <w:t>100</w:t>
            </w:r>
          </w:p>
        </w:tc>
        <w:tc>
          <w:tcPr>
            <w:tcW w:w="4545" w:type="dxa"/>
            <w:tcBorders>
              <w:top w:val="nil"/>
              <w:left w:val="nil"/>
              <w:bottom w:val="single" w:color="auto" w:sz="4" w:space="0"/>
              <w:right w:val="single" w:color="auto" w:sz="4" w:space="0"/>
            </w:tcBorders>
            <w:vAlign w:val="center"/>
          </w:tcPr>
          <w:p>
            <w:pPr>
              <w:widowControl/>
              <w:spacing w:line="300" w:lineRule="exact"/>
              <w:jc w:val="left"/>
              <w:rPr>
                <w:rFonts w:hint="eastAsia" w:ascii="仿宋_GB2312" w:hAnsi="黑体" w:eastAsia="仿宋_GB2312" w:cs="宋体"/>
                <w:b/>
                <w:bCs/>
                <w:color w:val="000000"/>
                <w:kern w:val="0"/>
                <w:szCs w:val="21"/>
              </w:rPr>
            </w:pPr>
          </w:p>
        </w:tc>
      </w:tr>
    </w:tbl>
    <w:p>
      <w:pPr>
        <w:widowControl/>
        <w:spacing w:line="400" w:lineRule="exact"/>
        <w:jc w:val="left"/>
        <w:rPr>
          <w:rFonts w:hint="eastAsia" w:ascii="楷体_GB2312" w:hAnsi="仿宋" w:eastAsia="楷体_GB2312"/>
          <w:color w:val="000000" w:themeColor="text1"/>
          <w:sz w:val="24"/>
          <w:szCs w:val="24"/>
          <w14:textFill>
            <w14:solidFill>
              <w14:schemeClr w14:val="tx1"/>
            </w14:solidFill>
          </w14:textFill>
        </w:rPr>
      </w:pPr>
    </w:p>
    <w:sectPr>
      <w:pgSz w:w="16838" w:h="11906" w:orient="landscape"/>
      <w:pgMar w:top="1587" w:right="2098" w:bottom="1474" w:left="1814"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libri">
    <w:panose1 w:val="020F0502020204030204"/>
    <w:charset w:val="00"/>
    <w:family w:val="modern"/>
    <w:pitch w:val="default"/>
    <w:sig w:usb0="E00002FF" w:usb1="4000ACFF" w:usb2="00000001" w:usb3="00000000" w:csb0="2000019F" w:csb1="00000000"/>
  </w:font>
  <w:font w:name="Cambria">
    <w:panose1 w:val="02040503050406030204"/>
    <w:charset w:val="00"/>
    <w:family w:val="decorative"/>
    <w:pitch w:val="default"/>
    <w:sig w:usb0="E00002FF" w:usb1="400004FF" w:usb2="00000000" w:usb3="00000000" w:csb0="2000019F" w:csb1="00000000"/>
  </w:font>
  <w:font w:name="仿宋_GB2312">
    <w:altName w:val="仿宋"/>
    <w:panose1 w:val="02010609030101010101"/>
    <w:charset w:val="86"/>
    <w:family w:val="roma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创艺简标宋">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roman"/>
    <w:pitch w:val="default"/>
    <w:sig w:usb0="800002BF" w:usb1="38CF7CFA" w:usb2="00000016" w:usb3="00000000" w:csb0="00040001" w:csb1="00000000"/>
  </w:font>
  <w:font w:name="楷体_GB2312">
    <w:altName w:val="楷体"/>
    <w:panose1 w:val="02010609030101010101"/>
    <w:charset w:val="86"/>
    <w:family w:val="roman"/>
    <w:pitch w:val="default"/>
    <w:sig w:usb0="00000000" w:usb1="00000000" w:usb2="00000010" w:usb3="00000000" w:csb0="00040000" w:csb1="00000000"/>
  </w:font>
  <w:font w:name="黑体">
    <w:panose1 w:val="02010609060101010101"/>
    <w:charset w:val="86"/>
    <w:family w:val="decorative"/>
    <w:pitch w:val="default"/>
    <w:sig w:usb0="800002BF" w:usb1="38CF7CFA" w:usb2="00000016"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decorative"/>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黑体">
    <w:panose1 w:val="02010609060101010101"/>
    <w:charset w:val="86"/>
    <w:family w:val="roma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tabs>
        <w:tab w:val="left" w:pos="982"/>
        <w:tab w:val="clear" w:pos="4153"/>
        <w:tab w:val="clear"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098"/>
    <w:rsid w:val="00000142"/>
    <w:rsid w:val="00000825"/>
    <w:rsid w:val="00000989"/>
    <w:rsid w:val="00001FEF"/>
    <w:rsid w:val="000022D1"/>
    <w:rsid w:val="00002820"/>
    <w:rsid w:val="0000291F"/>
    <w:rsid w:val="00002F64"/>
    <w:rsid w:val="0000321B"/>
    <w:rsid w:val="00003401"/>
    <w:rsid w:val="00005646"/>
    <w:rsid w:val="00005E00"/>
    <w:rsid w:val="00011A11"/>
    <w:rsid w:val="00012367"/>
    <w:rsid w:val="000127BE"/>
    <w:rsid w:val="00014D4E"/>
    <w:rsid w:val="00014FEB"/>
    <w:rsid w:val="000155EB"/>
    <w:rsid w:val="000156B2"/>
    <w:rsid w:val="00015CCD"/>
    <w:rsid w:val="00016778"/>
    <w:rsid w:val="0001678E"/>
    <w:rsid w:val="00016C1D"/>
    <w:rsid w:val="00017E4C"/>
    <w:rsid w:val="00020589"/>
    <w:rsid w:val="00020896"/>
    <w:rsid w:val="00021DFF"/>
    <w:rsid w:val="0002217F"/>
    <w:rsid w:val="000225FE"/>
    <w:rsid w:val="00022BF0"/>
    <w:rsid w:val="00023509"/>
    <w:rsid w:val="00023A73"/>
    <w:rsid w:val="00023D08"/>
    <w:rsid w:val="0002404E"/>
    <w:rsid w:val="0002510B"/>
    <w:rsid w:val="0002598D"/>
    <w:rsid w:val="0002630E"/>
    <w:rsid w:val="00026B7A"/>
    <w:rsid w:val="00027C78"/>
    <w:rsid w:val="00030701"/>
    <w:rsid w:val="0003092B"/>
    <w:rsid w:val="0003096D"/>
    <w:rsid w:val="00030D33"/>
    <w:rsid w:val="0003143F"/>
    <w:rsid w:val="00031B68"/>
    <w:rsid w:val="00032273"/>
    <w:rsid w:val="0003249E"/>
    <w:rsid w:val="00033969"/>
    <w:rsid w:val="00033D8B"/>
    <w:rsid w:val="00033E91"/>
    <w:rsid w:val="000363BE"/>
    <w:rsid w:val="00037062"/>
    <w:rsid w:val="00040A6D"/>
    <w:rsid w:val="00040B46"/>
    <w:rsid w:val="00040BD4"/>
    <w:rsid w:val="0004104B"/>
    <w:rsid w:val="00042622"/>
    <w:rsid w:val="000429E9"/>
    <w:rsid w:val="000436BC"/>
    <w:rsid w:val="00043773"/>
    <w:rsid w:val="00044D68"/>
    <w:rsid w:val="0004544D"/>
    <w:rsid w:val="000462C4"/>
    <w:rsid w:val="0004729C"/>
    <w:rsid w:val="00047415"/>
    <w:rsid w:val="00047F8A"/>
    <w:rsid w:val="00052738"/>
    <w:rsid w:val="000529BC"/>
    <w:rsid w:val="000555A7"/>
    <w:rsid w:val="0005608D"/>
    <w:rsid w:val="000604A3"/>
    <w:rsid w:val="00060839"/>
    <w:rsid w:val="00060948"/>
    <w:rsid w:val="00061179"/>
    <w:rsid w:val="00061D4F"/>
    <w:rsid w:val="000620FE"/>
    <w:rsid w:val="00064287"/>
    <w:rsid w:val="00065193"/>
    <w:rsid w:val="00065532"/>
    <w:rsid w:val="00066B46"/>
    <w:rsid w:val="00066EAF"/>
    <w:rsid w:val="00067593"/>
    <w:rsid w:val="00070C86"/>
    <w:rsid w:val="00071741"/>
    <w:rsid w:val="00071B75"/>
    <w:rsid w:val="00072B8F"/>
    <w:rsid w:val="00073351"/>
    <w:rsid w:val="00073704"/>
    <w:rsid w:val="000741C2"/>
    <w:rsid w:val="00076687"/>
    <w:rsid w:val="00076800"/>
    <w:rsid w:val="00077097"/>
    <w:rsid w:val="0007782F"/>
    <w:rsid w:val="000778C9"/>
    <w:rsid w:val="000804AB"/>
    <w:rsid w:val="000814ED"/>
    <w:rsid w:val="00082701"/>
    <w:rsid w:val="00082CDE"/>
    <w:rsid w:val="00082F01"/>
    <w:rsid w:val="000835E6"/>
    <w:rsid w:val="00083827"/>
    <w:rsid w:val="00083E75"/>
    <w:rsid w:val="0008407D"/>
    <w:rsid w:val="000851AB"/>
    <w:rsid w:val="000872B5"/>
    <w:rsid w:val="000878C7"/>
    <w:rsid w:val="000910E1"/>
    <w:rsid w:val="0009155C"/>
    <w:rsid w:val="00091D3B"/>
    <w:rsid w:val="00093312"/>
    <w:rsid w:val="000935E3"/>
    <w:rsid w:val="00093D29"/>
    <w:rsid w:val="00094400"/>
    <w:rsid w:val="0009463A"/>
    <w:rsid w:val="00097731"/>
    <w:rsid w:val="00097B1D"/>
    <w:rsid w:val="00097F96"/>
    <w:rsid w:val="000A0570"/>
    <w:rsid w:val="000A10D5"/>
    <w:rsid w:val="000A14BE"/>
    <w:rsid w:val="000A1557"/>
    <w:rsid w:val="000A18E2"/>
    <w:rsid w:val="000A1E2A"/>
    <w:rsid w:val="000A220C"/>
    <w:rsid w:val="000A228C"/>
    <w:rsid w:val="000A2575"/>
    <w:rsid w:val="000A2861"/>
    <w:rsid w:val="000A2B63"/>
    <w:rsid w:val="000A2EAC"/>
    <w:rsid w:val="000A320C"/>
    <w:rsid w:val="000A33E0"/>
    <w:rsid w:val="000A433A"/>
    <w:rsid w:val="000A46CE"/>
    <w:rsid w:val="000A5399"/>
    <w:rsid w:val="000A571E"/>
    <w:rsid w:val="000A6254"/>
    <w:rsid w:val="000A6E9D"/>
    <w:rsid w:val="000A6EB2"/>
    <w:rsid w:val="000A7165"/>
    <w:rsid w:val="000A7F31"/>
    <w:rsid w:val="000B1044"/>
    <w:rsid w:val="000B1233"/>
    <w:rsid w:val="000B2A44"/>
    <w:rsid w:val="000B3FBD"/>
    <w:rsid w:val="000B432F"/>
    <w:rsid w:val="000B517C"/>
    <w:rsid w:val="000B5D20"/>
    <w:rsid w:val="000B6F66"/>
    <w:rsid w:val="000B7021"/>
    <w:rsid w:val="000B7029"/>
    <w:rsid w:val="000B7353"/>
    <w:rsid w:val="000C1981"/>
    <w:rsid w:val="000C1BB0"/>
    <w:rsid w:val="000C1F23"/>
    <w:rsid w:val="000C21F9"/>
    <w:rsid w:val="000C50BC"/>
    <w:rsid w:val="000C60FE"/>
    <w:rsid w:val="000C6327"/>
    <w:rsid w:val="000D046B"/>
    <w:rsid w:val="000D0AF5"/>
    <w:rsid w:val="000D22DF"/>
    <w:rsid w:val="000D240F"/>
    <w:rsid w:val="000D30FD"/>
    <w:rsid w:val="000D36BD"/>
    <w:rsid w:val="000D36DF"/>
    <w:rsid w:val="000D4C0D"/>
    <w:rsid w:val="000D55D7"/>
    <w:rsid w:val="000D67FC"/>
    <w:rsid w:val="000D6AB0"/>
    <w:rsid w:val="000D6E73"/>
    <w:rsid w:val="000D7152"/>
    <w:rsid w:val="000D749A"/>
    <w:rsid w:val="000E23C9"/>
    <w:rsid w:val="000E29D8"/>
    <w:rsid w:val="000E2B50"/>
    <w:rsid w:val="000E2C67"/>
    <w:rsid w:val="000E40A9"/>
    <w:rsid w:val="000E4200"/>
    <w:rsid w:val="000E4A1C"/>
    <w:rsid w:val="000E5689"/>
    <w:rsid w:val="000E62E4"/>
    <w:rsid w:val="000E729B"/>
    <w:rsid w:val="000F15BE"/>
    <w:rsid w:val="000F16CE"/>
    <w:rsid w:val="000F4D36"/>
    <w:rsid w:val="000F576C"/>
    <w:rsid w:val="000F57ED"/>
    <w:rsid w:val="000F6389"/>
    <w:rsid w:val="001000B9"/>
    <w:rsid w:val="001008B5"/>
    <w:rsid w:val="001008E0"/>
    <w:rsid w:val="0010091E"/>
    <w:rsid w:val="00100B8C"/>
    <w:rsid w:val="00100EB9"/>
    <w:rsid w:val="0010194E"/>
    <w:rsid w:val="00102B51"/>
    <w:rsid w:val="00102B55"/>
    <w:rsid w:val="001033B4"/>
    <w:rsid w:val="00103509"/>
    <w:rsid w:val="00103609"/>
    <w:rsid w:val="001036B5"/>
    <w:rsid w:val="00104079"/>
    <w:rsid w:val="001041D1"/>
    <w:rsid w:val="00105B6B"/>
    <w:rsid w:val="00105BF2"/>
    <w:rsid w:val="001070E3"/>
    <w:rsid w:val="001076EF"/>
    <w:rsid w:val="001111CB"/>
    <w:rsid w:val="0011273D"/>
    <w:rsid w:val="00113790"/>
    <w:rsid w:val="00113C43"/>
    <w:rsid w:val="00114256"/>
    <w:rsid w:val="001146A3"/>
    <w:rsid w:val="00114ABC"/>
    <w:rsid w:val="00114BB4"/>
    <w:rsid w:val="00115930"/>
    <w:rsid w:val="00115B30"/>
    <w:rsid w:val="00115CB5"/>
    <w:rsid w:val="001160BF"/>
    <w:rsid w:val="00116787"/>
    <w:rsid w:val="00117B76"/>
    <w:rsid w:val="001208FC"/>
    <w:rsid w:val="00120DEB"/>
    <w:rsid w:val="0012104B"/>
    <w:rsid w:val="00121BFE"/>
    <w:rsid w:val="0012245E"/>
    <w:rsid w:val="00123310"/>
    <w:rsid w:val="00123D6E"/>
    <w:rsid w:val="0012484D"/>
    <w:rsid w:val="00124BA3"/>
    <w:rsid w:val="00126D13"/>
    <w:rsid w:val="00127B5C"/>
    <w:rsid w:val="00130216"/>
    <w:rsid w:val="00130365"/>
    <w:rsid w:val="001305B7"/>
    <w:rsid w:val="0013066D"/>
    <w:rsid w:val="0013092B"/>
    <w:rsid w:val="00130E06"/>
    <w:rsid w:val="00130EDD"/>
    <w:rsid w:val="00131065"/>
    <w:rsid w:val="001311D7"/>
    <w:rsid w:val="00131781"/>
    <w:rsid w:val="00132837"/>
    <w:rsid w:val="00132981"/>
    <w:rsid w:val="00132A75"/>
    <w:rsid w:val="00132FC6"/>
    <w:rsid w:val="00133CB0"/>
    <w:rsid w:val="001344DA"/>
    <w:rsid w:val="0013555B"/>
    <w:rsid w:val="00137D4C"/>
    <w:rsid w:val="00140138"/>
    <w:rsid w:val="0014092D"/>
    <w:rsid w:val="00140D6F"/>
    <w:rsid w:val="00142939"/>
    <w:rsid w:val="00144C80"/>
    <w:rsid w:val="00147279"/>
    <w:rsid w:val="001477A3"/>
    <w:rsid w:val="00147CA8"/>
    <w:rsid w:val="00150910"/>
    <w:rsid w:val="00151A2D"/>
    <w:rsid w:val="0015241F"/>
    <w:rsid w:val="00153AFE"/>
    <w:rsid w:val="0015456F"/>
    <w:rsid w:val="001547A4"/>
    <w:rsid w:val="00156194"/>
    <w:rsid w:val="00156C28"/>
    <w:rsid w:val="00156C58"/>
    <w:rsid w:val="00157A7C"/>
    <w:rsid w:val="00160A1F"/>
    <w:rsid w:val="00160FCA"/>
    <w:rsid w:val="00161081"/>
    <w:rsid w:val="00162026"/>
    <w:rsid w:val="00162402"/>
    <w:rsid w:val="00162CAD"/>
    <w:rsid w:val="00162D0A"/>
    <w:rsid w:val="001632F3"/>
    <w:rsid w:val="0016472A"/>
    <w:rsid w:val="0016590E"/>
    <w:rsid w:val="00166909"/>
    <w:rsid w:val="001673C7"/>
    <w:rsid w:val="001704B8"/>
    <w:rsid w:val="001705AE"/>
    <w:rsid w:val="001707AC"/>
    <w:rsid w:val="00171288"/>
    <w:rsid w:val="00173A7A"/>
    <w:rsid w:val="00173C58"/>
    <w:rsid w:val="00174BC9"/>
    <w:rsid w:val="00174D4D"/>
    <w:rsid w:val="00174F94"/>
    <w:rsid w:val="00176115"/>
    <w:rsid w:val="0017659D"/>
    <w:rsid w:val="00177648"/>
    <w:rsid w:val="00177E94"/>
    <w:rsid w:val="00180D86"/>
    <w:rsid w:val="001811EC"/>
    <w:rsid w:val="00181BD5"/>
    <w:rsid w:val="00181F1B"/>
    <w:rsid w:val="00182886"/>
    <w:rsid w:val="00182F9A"/>
    <w:rsid w:val="0018323F"/>
    <w:rsid w:val="001832E7"/>
    <w:rsid w:val="001834D4"/>
    <w:rsid w:val="00183547"/>
    <w:rsid w:val="00184705"/>
    <w:rsid w:val="001857F4"/>
    <w:rsid w:val="00185804"/>
    <w:rsid w:val="00185E3A"/>
    <w:rsid w:val="0018614E"/>
    <w:rsid w:val="0018654F"/>
    <w:rsid w:val="001866A0"/>
    <w:rsid w:val="00186F9E"/>
    <w:rsid w:val="00187061"/>
    <w:rsid w:val="0018766C"/>
    <w:rsid w:val="001879AB"/>
    <w:rsid w:val="00187B6D"/>
    <w:rsid w:val="001906B6"/>
    <w:rsid w:val="00190747"/>
    <w:rsid w:val="00190C6A"/>
    <w:rsid w:val="00192215"/>
    <w:rsid w:val="001923CE"/>
    <w:rsid w:val="0019355F"/>
    <w:rsid w:val="001940FA"/>
    <w:rsid w:val="00194CA8"/>
    <w:rsid w:val="00195044"/>
    <w:rsid w:val="001950EF"/>
    <w:rsid w:val="0019535F"/>
    <w:rsid w:val="00195746"/>
    <w:rsid w:val="00196140"/>
    <w:rsid w:val="0019619F"/>
    <w:rsid w:val="001961C9"/>
    <w:rsid w:val="0019688D"/>
    <w:rsid w:val="00196D95"/>
    <w:rsid w:val="00196EBA"/>
    <w:rsid w:val="00196F1D"/>
    <w:rsid w:val="001977F1"/>
    <w:rsid w:val="001979BC"/>
    <w:rsid w:val="00197BE6"/>
    <w:rsid w:val="00197D63"/>
    <w:rsid w:val="001A0C7A"/>
    <w:rsid w:val="001A1971"/>
    <w:rsid w:val="001A253D"/>
    <w:rsid w:val="001A418C"/>
    <w:rsid w:val="001A499A"/>
    <w:rsid w:val="001A59DB"/>
    <w:rsid w:val="001A5E12"/>
    <w:rsid w:val="001A6098"/>
    <w:rsid w:val="001A7084"/>
    <w:rsid w:val="001A78D9"/>
    <w:rsid w:val="001A79CC"/>
    <w:rsid w:val="001A7B61"/>
    <w:rsid w:val="001A7B6C"/>
    <w:rsid w:val="001B0CAF"/>
    <w:rsid w:val="001B0CFF"/>
    <w:rsid w:val="001B11FA"/>
    <w:rsid w:val="001B2353"/>
    <w:rsid w:val="001B316A"/>
    <w:rsid w:val="001B321A"/>
    <w:rsid w:val="001B3405"/>
    <w:rsid w:val="001B3474"/>
    <w:rsid w:val="001B3938"/>
    <w:rsid w:val="001B3A9D"/>
    <w:rsid w:val="001B3E1E"/>
    <w:rsid w:val="001B3EDC"/>
    <w:rsid w:val="001B4BA1"/>
    <w:rsid w:val="001B77E1"/>
    <w:rsid w:val="001B7E59"/>
    <w:rsid w:val="001C12E8"/>
    <w:rsid w:val="001C1F42"/>
    <w:rsid w:val="001C2E15"/>
    <w:rsid w:val="001C32F4"/>
    <w:rsid w:val="001C35A7"/>
    <w:rsid w:val="001C36E6"/>
    <w:rsid w:val="001C4184"/>
    <w:rsid w:val="001C4240"/>
    <w:rsid w:val="001C4FE8"/>
    <w:rsid w:val="001C51FE"/>
    <w:rsid w:val="001C641A"/>
    <w:rsid w:val="001C673E"/>
    <w:rsid w:val="001C69CE"/>
    <w:rsid w:val="001C7065"/>
    <w:rsid w:val="001C765E"/>
    <w:rsid w:val="001C7806"/>
    <w:rsid w:val="001C7FE4"/>
    <w:rsid w:val="001D06A2"/>
    <w:rsid w:val="001D0F56"/>
    <w:rsid w:val="001D109E"/>
    <w:rsid w:val="001D1193"/>
    <w:rsid w:val="001D12B0"/>
    <w:rsid w:val="001D1644"/>
    <w:rsid w:val="001D2020"/>
    <w:rsid w:val="001D24E5"/>
    <w:rsid w:val="001D2DF3"/>
    <w:rsid w:val="001D2F39"/>
    <w:rsid w:val="001D4941"/>
    <w:rsid w:val="001D4C63"/>
    <w:rsid w:val="001D502E"/>
    <w:rsid w:val="001D5483"/>
    <w:rsid w:val="001D559A"/>
    <w:rsid w:val="001D6D17"/>
    <w:rsid w:val="001D6FA8"/>
    <w:rsid w:val="001E0825"/>
    <w:rsid w:val="001E103F"/>
    <w:rsid w:val="001E1E0B"/>
    <w:rsid w:val="001E27E2"/>
    <w:rsid w:val="001E2888"/>
    <w:rsid w:val="001E2A4F"/>
    <w:rsid w:val="001E2C6E"/>
    <w:rsid w:val="001E43EE"/>
    <w:rsid w:val="001E44DB"/>
    <w:rsid w:val="001E46D3"/>
    <w:rsid w:val="001E47CD"/>
    <w:rsid w:val="001E56CB"/>
    <w:rsid w:val="001E61B2"/>
    <w:rsid w:val="001E6794"/>
    <w:rsid w:val="001E6E48"/>
    <w:rsid w:val="001E6FFB"/>
    <w:rsid w:val="001E7289"/>
    <w:rsid w:val="001E7586"/>
    <w:rsid w:val="001E7781"/>
    <w:rsid w:val="001E7FBE"/>
    <w:rsid w:val="001F0403"/>
    <w:rsid w:val="001F0938"/>
    <w:rsid w:val="001F3105"/>
    <w:rsid w:val="001F37F0"/>
    <w:rsid w:val="001F4219"/>
    <w:rsid w:val="001F4BF5"/>
    <w:rsid w:val="001F4E54"/>
    <w:rsid w:val="001F510F"/>
    <w:rsid w:val="001F53E7"/>
    <w:rsid w:val="001F5A30"/>
    <w:rsid w:val="001F5C47"/>
    <w:rsid w:val="001F6EB7"/>
    <w:rsid w:val="001F757F"/>
    <w:rsid w:val="001F7680"/>
    <w:rsid w:val="001F7783"/>
    <w:rsid w:val="001F794D"/>
    <w:rsid w:val="0020282E"/>
    <w:rsid w:val="002030D1"/>
    <w:rsid w:val="002056C8"/>
    <w:rsid w:val="002059BF"/>
    <w:rsid w:val="002059C7"/>
    <w:rsid w:val="0020658A"/>
    <w:rsid w:val="002065B2"/>
    <w:rsid w:val="00206FBD"/>
    <w:rsid w:val="00207287"/>
    <w:rsid w:val="0021009A"/>
    <w:rsid w:val="002105AB"/>
    <w:rsid w:val="00210AA0"/>
    <w:rsid w:val="00210C4A"/>
    <w:rsid w:val="00212666"/>
    <w:rsid w:val="002127F3"/>
    <w:rsid w:val="00217349"/>
    <w:rsid w:val="00220B36"/>
    <w:rsid w:val="0022108F"/>
    <w:rsid w:val="0022142E"/>
    <w:rsid w:val="002217FF"/>
    <w:rsid w:val="002219D2"/>
    <w:rsid w:val="00221FE4"/>
    <w:rsid w:val="00222562"/>
    <w:rsid w:val="00223AE0"/>
    <w:rsid w:val="00224975"/>
    <w:rsid w:val="00224F3B"/>
    <w:rsid w:val="002250DC"/>
    <w:rsid w:val="0022562C"/>
    <w:rsid w:val="00225DEF"/>
    <w:rsid w:val="00225E5E"/>
    <w:rsid w:val="00225F9A"/>
    <w:rsid w:val="00230FEF"/>
    <w:rsid w:val="0023134E"/>
    <w:rsid w:val="002323E9"/>
    <w:rsid w:val="00234529"/>
    <w:rsid w:val="00235E22"/>
    <w:rsid w:val="00236657"/>
    <w:rsid w:val="0023761B"/>
    <w:rsid w:val="00241659"/>
    <w:rsid w:val="002418E9"/>
    <w:rsid w:val="00241CC8"/>
    <w:rsid w:val="00241E7E"/>
    <w:rsid w:val="002420AE"/>
    <w:rsid w:val="002429F9"/>
    <w:rsid w:val="0024378D"/>
    <w:rsid w:val="0024452B"/>
    <w:rsid w:val="002445A3"/>
    <w:rsid w:val="002453FC"/>
    <w:rsid w:val="00245416"/>
    <w:rsid w:val="00245EF3"/>
    <w:rsid w:val="002469EF"/>
    <w:rsid w:val="002471CB"/>
    <w:rsid w:val="00247BA7"/>
    <w:rsid w:val="00247BC0"/>
    <w:rsid w:val="002500F5"/>
    <w:rsid w:val="0025034A"/>
    <w:rsid w:val="0025148E"/>
    <w:rsid w:val="00251799"/>
    <w:rsid w:val="0025278E"/>
    <w:rsid w:val="00253BA4"/>
    <w:rsid w:val="00254EB9"/>
    <w:rsid w:val="00254FD8"/>
    <w:rsid w:val="002551F8"/>
    <w:rsid w:val="0025539A"/>
    <w:rsid w:val="002554CA"/>
    <w:rsid w:val="0025571C"/>
    <w:rsid w:val="002557A9"/>
    <w:rsid w:val="00255C96"/>
    <w:rsid w:val="0025607F"/>
    <w:rsid w:val="00256418"/>
    <w:rsid w:val="00256D97"/>
    <w:rsid w:val="002570E1"/>
    <w:rsid w:val="00257391"/>
    <w:rsid w:val="002573E7"/>
    <w:rsid w:val="0025782F"/>
    <w:rsid w:val="00257E7B"/>
    <w:rsid w:val="00260690"/>
    <w:rsid w:val="002624EC"/>
    <w:rsid w:val="00262A2E"/>
    <w:rsid w:val="002634B3"/>
    <w:rsid w:val="0026385F"/>
    <w:rsid w:val="00264795"/>
    <w:rsid w:val="00265D90"/>
    <w:rsid w:val="00266361"/>
    <w:rsid w:val="00266B33"/>
    <w:rsid w:val="00267E9B"/>
    <w:rsid w:val="00270AA0"/>
    <w:rsid w:val="0027133C"/>
    <w:rsid w:val="00271604"/>
    <w:rsid w:val="00271B49"/>
    <w:rsid w:val="00272B58"/>
    <w:rsid w:val="00274EB9"/>
    <w:rsid w:val="00275AEB"/>
    <w:rsid w:val="002760DC"/>
    <w:rsid w:val="0027716D"/>
    <w:rsid w:val="00277BB1"/>
    <w:rsid w:val="0028068E"/>
    <w:rsid w:val="00281E6C"/>
    <w:rsid w:val="0028257F"/>
    <w:rsid w:val="00282786"/>
    <w:rsid w:val="00282F71"/>
    <w:rsid w:val="00282F95"/>
    <w:rsid w:val="00283BCF"/>
    <w:rsid w:val="002858BE"/>
    <w:rsid w:val="00286357"/>
    <w:rsid w:val="00287BA9"/>
    <w:rsid w:val="00287EE9"/>
    <w:rsid w:val="00290305"/>
    <w:rsid w:val="00290564"/>
    <w:rsid w:val="00290EE2"/>
    <w:rsid w:val="00291218"/>
    <w:rsid w:val="0029150D"/>
    <w:rsid w:val="00291D08"/>
    <w:rsid w:val="002923F6"/>
    <w:rsid w:val="00292879"/>
    <w:rsid w:val="00292AAA"/>
    <w:rsid w:val="00292B1F"/>
    <w:rsid w:val="002935AA"/>
    <w:rsid w:val="00293C5B"/>
    <w:rsid w:val="00294F48"/>
    <w:rsid w:val="002956B8"/>
    <w:rsid w:val="002958CD"/>
    <w:rsid w:val="00296616"/>
    <w:rsid w:val="00296662"/>
    <w:rsid w:val="0029738C"/>
    <w:rsid w:val="0029739A"/>
    <w:rsid w:val="0029763A"/>
    <w:rsid w:val="00297F42"/>
    <w:rsid w:val="002A072B"/>
    <w:rsid w:val="002A0E36"/>
    <w:rsid w:val="002A0EE6"/>
    <w:rsid w:val="002A1167"/>
    <w:rsid w:val="002A119F"/>
    <w:rsid w:val="002A2BA6"/>
    <w:rsid w:val="002A309E"/>
    <w:rsid w:val="002A316E"/>
    <w:rsid w:val="002A4B23"/>
    <w:rsid w:val="002A62A4"/>
    <w:rsid w:val="002A6641"/>
    <w:rsid w:val="002A6DD7"/>
    <w:rsid w:val="002A6DDB"/>
    <w:rsid w:val="002A6EA9"/>
    <w:rsid w:val="002B0302"/>
    <w:rsid w:val="002B03C4"/>
    <w:rsid w:val="002B0B38"/>
    <w:rsid w:val="002B10B8"/>
    <w:rsid w:val="002B1AB1"/>
    <w:rsid w:val="002B3161"/>
    <w:rsid w:val="002B35E2"/>
    <w:rsid w:val="002B4D9E"/>
    <w:rsid w:val="002B4DC7"/>
    <w:rsid w:val="002B4F5E"/>
    <w:rsid w:val="002B55F4"/>
    <w:rsid w:val="002B5B14"/>
    <w:rsid w:val="002B623A"/>
    <w:rsid w:val="002B6E9D"/>
    <w:rsid w:val="002C0968"/>
    <w:rsid w:val="002C0B77"/>
    <w:rsid w:val="002C124D"/>
    <w:rsid w:val="002C178B"/>
    <w:rsid w:val="002C2C17"/>
    <w:rsid w:val="002C2FA8"/>
    <w:rsid w:val="002C3D60"/>
    <w:rsid w:val="002C44D1"/>
    <w:rsid w:val="002C53D3"/>
    <w:rsid w:val="002C54ED"/>
    <w:rsid w:val="002C56F7"/>
    <w:rsid w:val="002C64D2"/>
    <w:rsid w:val="002C717C"/>
    <w:rsid w:val="002C71BD"/>
    <w:rsid w:val="002C7B3C"/>
    <w:rsid w:val="002C7D36"/>
    <w:rsid w:val="002D13E9"/>
    <w:rsid w:val="002D1B1E"/>
    <w:rsid w:val="002D2BCB"/>
    <w:rsid w:val="002D3C04"/>
    <w:rsid w:val="002D4904"/>
    <w:rsid w:val="002D4A4C"/>
    <w:rsid w:val="002D4DD8"/>
    <w:rsid w:val="002D5D35"/>
    <w:rsid w:val="002D5D89"/>
    <w:rsid w:val="002D65C4"/>
    <w:rsid w:val="002D6BBA"/>
    <w:rsid w:val="002D7658"/>
    <w:rsid w:val="002D7DF9"/>
    <w:rsid w:val="002E0CD7"/>
    <w:rsid w:val="002E1C22"/>
    <w:rsid w:val="002E1C43"/>
    <w:rsid w:val="002E3AE5"/>
    <w:rsid w:val="002E3E46"/>
    <w:rsid w:val="002E4568"/>
    <w:rsid w:val="002E5027"/>
    <w:rsid w:val="002E5C6B"/>
    <w:rsid w:val="002E61CC"/>
    <w:rsid w:val="002E64DE"/>
    <w:rsid w:val="002E6A49"/>
    <w:rsid w:val="002E7552"/>
    <w:rsid w:val="002E77A0"/>
    <w:rsid w:val="002E7FEB"/>
    <w:rsid w:val="002F015B"/>
    <w:rsid w:val="002F0AE1"/>
    <w:rsid w:val="002F0B19"/>
    <w:rsid w:val="002F0C1B"/>
    <w:rsid w:val="002F1323"/>
    <w:rsid w:val="002F170B"/>
    <w:rsid w:val="002F1E56"/>
    <w:rsid w:val="002F213A"/>
    <w:rsid w:val="002F3560"/>
    <w:rsid w:val="002F437F"/>
    <w:rsid w:val="002F4532"/>
    <w:rsid w:val="002F4826"/>
    <w:rsid w:val="002F486A"/>
    <w:rsid w:val="002F564B"/>
    <w:rsid w:val="002F5EFB"/>
    <w:rsid w:val="002F67AA"/>
    <w:rsid w:val="002F7303"/>
    <w:rsid w:val="002F7BDB"/>
    <w:rsid w:val="00300A16"/>
    <w:rsid w:val="00300A48"/>
    <w:rsid w:val="00300B06"/>
    <w:rsid w:val="003010AA"/>
    <w:rsid w:val="003018A2"/>
    <w:rsid w:val="00301E85"/>
    <w:rsid w:val="00301F4B"/>
    <w:rsid w:val="00302161"/>
    <w:rsid w:val="00303319"/>
    <w:rsid w:val="003033E7"/>
    <w:rsid w:val="00304571"/>
    <w:rsid w:val="003053E1"/>
    <w:rsid w:val="00307AF1"/>
    <w:rsid w:val="00310147"/>
    <w:rsid w:val="00311F64"/>
    <w:rsid w:val="0031214E"/>
    <w:rsid w:val="00315E58"/>
    <w:rsid w:val="003167A4"/>
    <w:rsid w:val="00316803"/>
    <w:rsid w:val="00316DCE"/>
    <w:rsid w:val="00316F54"/>
    <w:rsid w:val="00316F81"/>
    <w:rsid w:val="00317139"/>
    <w:rsid w:val="0031766D"/>
    <w:rsid w:val="00320A72"/>
    <w:rsid w:val="00320C7D"/>
    <w:rsid w:val="00320EC8"/>
    <w:rsid w:val="00323F10"/>
    <w:rsid w:val="003254BA"/>
    <w:rsid w:val="00325AC8"/>
    <w:rsid w:val="003264BE"/>
    <w:rsid w:val="003265CF"/>
    <w:rsid w:val="003268CE"/>
    <w:rsid w:val="00326F58"/>
    <w:rsid w:val="00330662"/>
    <w:rsid w:val="00333E3A"/>
    <w:rsid w:val="00334B81"/>
    <w:rsid w:val="00335745"/>
    <w:rsid w:val="00335B70"/>
    <w:rsid w:val="0033675F"/>
    <w:rsid w:val="00336933"/>
    <w:rsid w:val="0033693F"/>
    <w:rsid w:val="003378EC"/>
    <w:rsid w:val="00341D14"/>
    <w:rsid w:val="00342C50"/>
    <w:rsid w:val="00342ED0"/>
    <w:rsid w:val="00343379"/>
    <w:rsid w:val="00343391"/>
    <w:rsid w:val="00344848"/>
    <w:rsid w:val="003459B3"/>
    <w:rsid w:val="00346931"/>
    <w:rsid w:val="0034772F"/>
    <w:rsid w:val="00347A75"/>
    <w:rsid w:val="00347BB7"/>
    <w:rsid w:val="00347CAC"/>
    <w:rsid w:val="00350501"/>
    <w:rsid w:val="003505C0"/>
    <w:rsid w:val="00350910"/>
    <w:rsid w:val="00351C7E"/>
    <w:rsid w:val="00352475"/>
    <w:rsid w:val="00352AC0"/>
    <w:rsid w:val="0035364D"/>
    <w:rsid w:val="00353A76"/>
    <w:rsid w:val="00353BD9"/>
    <w:rsid w:val="003546B9"/>
    <w:rsid w:val="00354940"/>
    <w:rsid w:val="00355A65"/>
    <w:rsid w:val="00361E50"/>
    <w:rsid w:val="0036201D"/>
    <w:rsid w:val="00362A75"/>
    <w:rsid w:val="003630ED"/>
    <w:rsid w:val="00363180"/>
    <w:rsid w:val="00363A50"/>
    <w:rsid w:val="00364AF3"/>
    <w:rsid w:val="00364E82"/>
    <w:rsid w:val="0036563E"/>
    <w:rsid w:val="00365D39"/>
    <w:rsid w:val="00366FA4"/>
    <w:rsid w:val="00367AC2"/>
    <w:rsid w:val="003705A9"/>
    <w:rsid w:val="003719F4"/>
    <w:rsid w:val="003728A0"/>
    <w:rsid w:val="00372BBC"/>
    <w:rsid w:val="00372D53"/>
    <w:rsid w:val="003735B8"/>
    <w:rsid w:val="00373CA7"/>
    <w:rsid w:val="00374EA1"/>
    <w:rsid w:val="00375BBA"/>
    <w:rsid w:val="00375C01"/>
    <w:rsid w:val="00377889"/>
    <w:rsid w:val="00380E59"/>
    <w:rsid w:val="00381DB8"/>
    <w:rsid w:val="003820ED"/>
    <w:rsid w:val="003827D4"/>
    <w:rsid w:val="00384043"/>
    <w:rsid w:val="00384598"/>
    <w:rsid w:val="003847C6"/>
    <w:rsid w:val="0038481E"/>
    <w:rsid w:val="00384A69"/>
    <w:rsid w:val="00385ADB"/>
    <w:rsid w:val="00385F06"/>
    <w:rsid w:val="00385F9C"/>
    <w:rsid w:val="00386E14"/>
    <w:rsid w:val="00387402"/>
    <w:rsid w:val="003875D5"/>
    <w:rsid w:val="00390034"/>
    <w:rsid w:val="00390676"/>
    <w:rsid w:val="00393632"/>
    <w:rsid w:val="00394220"/>
    <w:rsid w:val="003949A2"/>
    <w:rsid w:val="00394C47"/>
    <w:rsid w:val="00396E2A"/>
    <w:rsid w:val="003977C9"/>
    <w:rsid w:val="003A0EC2"/>
    <w:rsid w:val="003A0EEA"/>
    <w:rsid w:val="003A1260"/>
    <w:rsid w:val="003A1B9B"/>
    <w:rsid w:val="003A21FC"/>
    <w:rsid w:val="003A25BF"/>
    <w:rsid w:val="003A280D"/>
    <w:rsid w:val="003A3B0F"/>
    <w:rsid w:val="003A4609"/>
    <w:rsid w:val="003A4864"/>
    <w:rsid w:val="003A54C2"/>
    <w:rsid w:val="003A59AE"/>
    <w:rsid w:val="003A69C1"/>
    <w:rsid w:val="003A7785"/>
    <w:rsid w:val="003A7C7C"/>
    <w:rsid w:val="003A7F7C"/>
    <w:rsid w:val="003B0017"/>
    <w:rsid w:val="003B1EE3"/>
    <w:rsid w:val="003B2888"/>
    <w:rsid w:val="003B3BD2"/>
    <w:rsid w:val="003B418A"/>
    <w:rsid w:val="003B4420"/>
    <w:rsid w:val="003B68EC"/>
    <w:rsid w:val="003B7510"/>
    <w:rsid w:val="003B7D64"/>
    <w:rsid w:val="003C0450"/>
    <w:rsid w:val="003C20D9"/>
    <w:rsid w:val="003C22D5"/>
    <w:rsid w:val="003C2AE5"/>
    <w:rsid w:val="003C3326"/>
    <w:rsid w:val="003C3D3B"/>
    <w:rsid w:val="003C41EB"/>
    <w:rsid w:val="003C4A93"/>
    <w:rsid w:val="003C5544"/>
    <w:rsid w:val="003C55AC"/>
    <w:rsid w:val="003C56F6"/>
    <w:rsid w:val="003C58D3"/>
    <w:rsid w:val="003C5BF7"/>
    <w:rsid w:val="003C5D90"/>
    <w:rsid w:val="003C6877"/>
    <w:rsid w:val="003C693F"/>
    <w:rsid w:val="003C69BE"/>
    <w:rsid w:val="003C6EA8"/>
    <w:rsid w:val="003C765E"/>
    <w:rsid w:val="003D04FA"/>
    <w:rsid w:val="003D055F"/>
    <w:rsid w:val="003D0D42"/>
    <w:rsid w:val="003D138E"/>
    <w:rsid w:val="003D1826"/>
    <w:rsid w:val="003D18AD"/>
    <w:rsid w:val="003D2FC0"/>
    <w:rsid w:val="003D390E"/>
    <w:rsid w:val="003D45EB"/>
    <w:rsid w:val="003D5614"/>
    <w:rsid w:val="003D5995"/>
    <w:rsid w:val="003D59F3"/>
    <w:rsid w:val="003D662C"/>
    <w:rsid w:val="003D671F"/>
    <w:rsid w:val="003D6D76"/>
    <w:rsid w:val="003D7013"/>
    <w:rsid w:val="003D79BB"/>
    <w:rsid w:val="003D7A4E"/>
    <w:rsid w:val="003D7BBA"/>
    <w:rsid w:val="003D7F48"/>
    <w:rsid w:val="003E06A7"/>
    <w:rsid w:val="003E1D02"/>
    <w:rsid w:val="003E2699"/>
    <w:rsid w:val="003E31BE"/>
    <w:rsid w:val="003E3435"/>
    <w:rsid w:val="003E3869"/>
    <w:rsid w:val="003E4856"/>
    <w:rsid w:val="003E511B"/>
    <w:rsid w:val="003E6C2A"/>
    <w:rsid w:val="003E6CFC"/>
    <w:rsid w:val="003E6F27"/>
    <w:rsid w:val="003E74C9"/>
    <w:rsid w:val="003E7608"/>
    <w:rsid w:val="003F054D"/>
    <w:rsid w:val="003F19AA"/>
    <w:rsid w:val="003F2085"/>
    <w:rsid w:val="003F22BA"/>
    <w:rsid w:val="003F2476"/>
    <w:rsid w:val="003F42F7"/>
    <w:rsid w:val="003F4A00"/>
    <w:rsid w:val="003F5E46"/>
    <w:rsid w:val="003F628C"/>
    <w:rsid w:val="003F7775"/>
    <w:rsid w:val="003F7EFD"/>
    <w:rsid w:val="00401454"/>
    <w:rsid w:val="00401B22"/>
    <w:rsid w:val="00401BA6"/>
    <w:rsid w:val="00401DD2"/>
    <w:rsid w:val="00402137"/>
    <w:rsid w:val="00402B06"/>
    <w:rsid w:val="004030AA"/>
    <w:rsid w:val="00404010"/>
    <w:rsid w:val="0040560B"/>
    <w:rsid w:val="00405789"/>
    <w:rsid w:val="00405F12"/>
    <w:rsid w:val="00407124"/>
    <w:rsid w:val="00407157"/>
    <w:rsid w:val="00407C14"/>
    <w:rsid w:val="00407E50"/>
    <w:rsid w:val="00410CA7"/>
    <w:rsid w:val="00410DAD"/>
    <w:rsid w:val="00410DBD"/>
    <w:rsid w:val="00412B2B"/>
    <w:rsid w:val="004131DB"/>
    <w:rsid w:val="004135C2"/>
    <w:rsid w:val="00414443"/>
    <w:rsid w:val="00414C69"/>
    <w:rsid w:val="004150AD"/>
    <w:rsid w:val="0041540F"/>
    <w:rsid w:val="004160AD"/>
    <w:rsid w:val="0041624A"/>
    <w:rsid w:val="004174D1"/>
    <w:rsid w:val="004179B7"/>
    <w:rsid w:val="00420AD7"/>
    <w:rsid w:val="004218A3"/>
    <w:rsid w:val="00422139"/>
    <w:rsid w:val="0042236E"/>
    <w:rsid w:val="00422570"/>
    <w:rsid w:val="00422DE0"/>
    <w:rsid w:val="00423879"/>
    <w:rsid w:val="00424ED2"/>
    <w:rsid w:val="0042577E"/>
    <w:rsid w:val="00425D7D"/>
    <w:rsid w:val="00426BF9"/>
    <w:rsid w:val="00427057"/>
    <w:rsid w:val="00427446"/>
    <w:rsid w:val="00427B91"/>
    <w:rsid w:val="004305B0"/>
    <w:rsid w:val="00430D56"/>
    <w:rsid w:val="00430FDB"/>
    <w:rsid w:val="004327BE"/>
    <w:rsid w:val="00433926"/>
    <w:rsid w:val="00433B92"/>
    <w:rsid w:val="00433C76"/>
    <w:rsid w:val="0043430F"/>
    <w:rsid w:val="0043517C"/>
    <w:rsid w:val="004352ED"/>
    <w:rsid w:val="00435D60"/>
    <w:rsid w:val="00436F41"/>
    <w:rsid w:val="00437A0B"/>
    <w:rsid w:val="00440564"/>
    <w:rsid w:val="00440BC3"/>
    <w:rsid w:val="00441310"/>
    <w:rsid w:val="0044266B"/>
    <w:rsid w:val="0044305A"/>
    <w:rsid w:val="00443C01"/>
    <w:rsid w:val="00444D21"/>
    <w:rsid w:val="00444FBB"/>
    <w:rsid w:val="00445158"/>
    <w:rsid w:val="00445D9C"/>
    <w:rsid w:val="00445EBD"/>
    <w:rsid w:val="0044607B"/>
    <w:rsid w:val="00446551"/>
    <w:rsid w:val="00446B50"/>
    <w:rsid w:val="00446B5D"/>
    <w:rsid w:val="00450160"/>
    <w:rsid w:val="00450A6D"/>
    <w:rsid w:val="00451159"/>
    <w:rsid w:val="004511A3"/>
    <w:rsid w:val="00451952"/>
    <w:rsid w:val="00451C26"/>
    <w:rsid w:val="00452249"/>
    <w:rsid w:val="00454DE0"/>
    <w:rsid w:val="00455365"/>
    <w:rsid w:val="004562CA"/>
    <w:rsid w:val="004569B0"/>
    <w:rsid w:val="00457B56"/>
    <w:rsid w:val="00460074"/>
    <w:rsid w:val="00460FAC"/>
    <w:rsid w:val="00463995"/>
    <w:rsid w:val="0046565E"/>
    <w:rsid w:val="00465D9E"/>
    <w:rsid w:val="004663C7"/>
    <w:rsid w:val="00466776"/>
    <w:rsid w:val="004674BB"/>
    <w:rsid w:val="004675B1"/>
    <w:rsid w:val="00467AE5"/>
    <w:rsid w:val="00470D01"/>
    <w:rsid w:val="00471F55"/>
    <w:rsid w:val="00473973"/>
    <w:rsid w:val="00473B23"/>
    <w:rsid w:val="00474238"/>
    <w:rsid w:val="00474C1B"/>
    <w:rsid w:val="00474C2C"/>
    <w:rsid w:val="00475BCD"/>
    <w:rsid w:val="00475C8B"/>
    <w:rsid w:val="00475E22"/>
    <w:rsid w:val="0047634B"/>
    <w:rsid w:val="004808BC"/>
    <w:rsid w:val="00480BDF"/>
    <w:rsid w:val="00480EE2"/>
    <w:rsid w:val="00481509"/>
    <w:rsid w:val="00481850"/>
    <w:rsid w:val="00481C59"/>
    <w:rsid w:val="00482245"/>
    <w:rsid w:val="00482AD2"/>
    <w:rsid w:val="00482E40"/>
    <w:rsid w:val="00483B82"/>
    <w:rsid w:val="00483E2A"/>
    <w:rsid w:val="00484169"/>
    <w:rsid w:val="00485062"/>
    <w:rsid w:val="0048693A"/>
    <w:rsid w:val="00486AF0"/>
    <w:rsid w:val="00486F18"/>
    <w:rsid w:val="004872A2"/>
    <w:rsid w:val="00490599"/>
    <w:rsid w:val="004906D5"/>
    <w:rsid w:val="00490AC9"/>
    <w:rsid w:val="00493103"/>
    <w:rsid w:val="004938E4"/>
    <w:rsid w:val="00493A54"/>
    <w:rsid w:val="00494062"/>
    <w:rsid w:val="0049469C"/>
    <w:rsid w:val="004948DD"/>
    <w:rsid w:val="00495774"/>
    <w:rsid w:val="004958C0"/>
    <w:rsid w:val="0049790A"/>
    <w:rsid w:val="004A047F"/>
    <w:rsid w:val="004A0B21"/>
    <w:rsid w:val="004A0EF4"/>
    <w:rsid w:val="004A10C3"/>
    <w:rsid w:val="004A120D"/>
    <w:rsid w:val="004A12B9"/>
    <w:rsid w:val="004A18B9"/>
    <w:rsid w:val="004A36C4"/>
    <w:rsid w:val="004A3DC3"/>
    <w:rsid w:val="004A4170"/>
    <w:rsid w:val="004A705E"/>
    <w:rsid w:val="004A7EDB"/>
    <w:rsid w:val="004B0695"/>
    <w:rsid w:val="004B0A42"/>
    <w:rsid w:val="004B1180"/>
    <w:rsid w:val="004B2492"/>
    <w:rsid w:val="004B29A1"/>
    <w:rsid w:val="004B3127"/>
    <w:rsid w:val="004B3828"/>
    <w:rsid w:val="004B3908"/>
    <w:rsid w:val="004B4155"/>
    <w:rsid w:val="004B4471"/>
    <w:rsid w:val="004B4843"/>
    <w:rsid w:val="004B498B"/>
    <w:rsid w:val="004B4FA9"/>
    <w:rsid w:val="004B55A1"/>
    <w:rsid w:val="004B5C8B"/>
    <w:rsid w:val="004B5E6D"/>
    <w:rsid w:val="004B6B07"/>
    <w:rsid w:val="004B7902"/>
    <w:rsid w:val="004B7A19"/>
    <w:rsid w:val="004C049A"/>
    <w:rsid w:val="004C0999"/>
    <w:rsid w:val="004C0DE3"/>
    <w:rsid w:val="004C1573"/>
    <w:rsid w:val="004C1A1B"/>
    <w:rsid w:val="004C1DDA"/>
    <w:rsid w:val="004C3657"/>
    <w:rsid w:val="004C40A2"/>
    <w:rsid w:val="004C4EA5"/>
    <w:rsid w:val="004C5439"/>
    <w:rsid w:val="004C5E97"/>
    <w:rsid w:val="004C7A00"/>
    <w:rsid w:val="004D0389"/>
    <w:rsid w:val="004D117D"/>
    <w:rsid w:val="004D1D99"/>
    <w:rsid w:val="004D2B6E"/>
    <w:rsid w:val="004D329C"/>
    <w:rsid w:val="004D44D9"/>
    <w:rsid w:val="004D468B"/>
    <w:rsid w:val="004D536B"/>
    <w:rsid w:val="004D559A"/>
    <w:rsid w:val="004D5710"/>
    <w:rsid w:val="004D5FB7"/>
    <w:rsid w:val="004D63E7"/>
    <w:rsid w:val="004D77CA"/>
    <w:rsid w:val="004E0457"/>
    <w:rsid w:val="004E0925"/>
    <w:rsid w:val="004E0A34"/>
    <w:rsid w:val="004E15B6"/>
    <w:rsid w:val="004E17B4"/>
    <w:rsid w:val="004E3175"/>
    <w:rsid w:val="004E36F9"/>
    <w:rsid w:val="004E469B"/>
    <w:rsid w:val="004E5850"/>
    <w:rsid w:val="004E67F0"/>
    <w:rsid w:val="004E6DB8"/>
    <w:rsid w:val="004E7246"/>
    <w:rsid w:val="004E7984"/>
    <w:rsid w:val="004E7A84"/>
    <w:rsid w:val="004F1E89"/>
    <w:rsid w:val="004F2326"/>
    <w:rsid w:val="004F26AC"/>
    <w:rsid w:val="004F3608"/>
    <w:rsid w:val="004F4066"/>
    <w:rsid w:val="004F4634"/>
    <w:rsid w:val="004F5D84"/>
    <w:rsid w:val="004F5DF6"/>
    <w:rsid w:val="004F5E53"/>
    <w:rsid w:val="004F792F"/>
    <w:rsid w:val="004F7E6C"/>
    <w:rsid w:val="005009FF"/>
    <w:rsid w:val="00500EBB"/>
    <w:rsid w:val="005013AB"/>
    <w:rsid w:val="00501485"/>
    <w:rsid w:val="00501B45"/>
    <w:rsid w:val="00501D31"/>
    <w:rsid w:val="00502885"/>
    <w:rsid w:val="0050300C"/>
    <w:rsid w:val="0050315A"/>
    <w:rsid w:val="00504F5B"/>
    <w:rsid w:val="00504FA6"/>
    <w:rsid w:val="00505205"/>
    <w:rsid w:val="00506159"/>
    <w:rsid w:val="00506F16"/>
    <w:rsid w:val="00507076"/>
    <w:rsid w:val="00507087"/>
    <w:rsid w:val="00507709"/>
    <w:rsid w:val="00510839"/>
    <w:rsid w:val="00510E20"/>
    <w:rsid w:val="005111F9"/>
    <w:rsid w:val="005116A6"/>
    <w:rsid w:val="0051172F"/>
    <w:rsid w:val="00511809"/>
    <w:rsid w:val="00512706"/>
    <w:rsid w:val="00512D9F"/>
    <w:rsid w:val="00513400"/>
    <w:rsid w:val="00513C32"/>
    <w:rsid w:val="00513C4D"/>
    <w:rsid w:val="0051420A"/>
    <w:rsid w:val="00514766"/>
    <w:rsid w:val="005147EC"/>
    <w:rsid w:val="00514849"/>
    <w:rsid w:val="0051588A"/>
    <w:rsid w:val="005162C8"/>
    <w:rsid w:val="005166F4"/>
    <w:rsid w:val="00517764"/>
    <w:rsid w:val="00517DCF"/>
    <w:rsid w:val="0052019D"/>
    <w:rsid w:val="00520924"/>
    <w:rsid w:val="00522373"/>
    <w:rsid w:val="00523088"/>
    <w:rsid w:val="00523704"/>
    <w:rsid w:val="00524246"/>
    <w:rsid w:val="0052534B"/>
    <w:rsid w:val="00525526"/>
    <w:rsid w:val="00525998"/>
    <w:rsid w:val="00526465"/>
    <w:rsid w:val="0052650C"/>
    <w:rsid w:val="00526813"/>
    <w:rsid w:val="00526D8E"/>
    <w:rsid w:val="00526E43"/>
    <w:rsid w:val="00526E84"/>
    <w:rsid w:val="00527696"/>
    <w:rsid w:val="005302C3"/>
    <w:rsid w:val="00530410"/>
    <w:rsid w:val="00531037"/>
    <w:rsid w:val="0053196F"/>
    <w:rsid w:val="00531FD6"/>
    <w:rsid w:val="005331C9"/>
    <w:rsid w:val="005338B4"/>
    <w:rsid w:val="00534040"/>
    <w:rsid w:val="00534A93"/>
    <w:rsid w:val="00534D45"/>
    <w:rsid w:val="00534FEA"/>
    <w:rsid w:val="005363DB"/>
    <w:rsid w:val="00536BF6"/>
    <w:rsid w:val="005376B3"/>
    <w:rsid w:val="00540B4F"/>
    <w:rsid w:val="00540D95"/>
    <w:rsid w:val="00540DE6"/>
    <w:rsid w:val="00541298"/>
    <w:rsid w:val="00542533"/>
    <w:rsid w:val="00542F58"/>
    <w:rsid w:val="00543201"/>
    <w:rsid w:val="005434D0"/>
    <w:rsid w:val="0054398C"/>
    <w:rsid w:val="0054523C"/>
    <w:rsid w:val="005453F0"/>
    <w:rsid w:val="0054574F"/>
    <w:rsid w:val="00545A47"/>
    <w:rsid w:val="00545DC6"/>
    <w:rsid w:val="00546164"/>
    <w:rsid w:val="00546BED"/>
    <w:rsid w:val="00546F2E"/>
    <w:rsid w:val="0054759E"/>
    <w:rsid w:val="00547D13"/>
    <w:rsid w:val="0055007E"/>
    <w:rsid w:val="0055031C"/>
    <w:rsid w:val="0055170E"/>
    <w:rsid w:val="00551E1D"/>
    <w:rsid w:val="00552350"/>
    <w:rsid w:val="00555B8C"/>
    <w:rsid w:val="00555CC7"/>
    <w:rsid w:val="0055629A"/>
    <w:rsid w:val="00557410"/>
    <w:rsid w:val="005611A9"/>
    <w:rsid w:val="005616BE"/>
    <w:rsid w:val="00562415"/>
    <w:rsid w:val="00562647"/>
    <w:rsid w:val="0056457D"/>
    <w:rsid w:val="00564D00"/>
    <w:rsid w:val="00564F2D"/>
    <w:rsid w:val="005654E3"/>
    <w:rsid w:val="005668C1"/>
    <w:rsid w:val="00566DB8"/>
    <w:rsid w:val="00567591"/>
    <w:rsid w:val="00567777"/>
    <w:rsid w:val="00570A9D"/>
    <w:rsid w:val="00570B6E"/>
    <w:rsid w:val="005714EF"/>
    <w:rsid w:val="00571A42"/>
    <w:rsid w:val="005733A8"/>
    <w:rsid w:val="00573802"/>
    <w:rsid w:val="00574AB4"/>
    <w:rsid w:val="005751FC"/>
    <w:rsid w:val="005755A9"/>
    <w:rsid w:val="0057584C"/>
    <w:rsid w:val="00575993"/>
    <w:rsid w:val="0057688E"/>
    <w:rsid w:val="00576AF2"/>
    <w:rsid w:val="0058047E"/>
    <w:rsid w:val="00580F9C"/>
    <w:rsid w:val="0058212A"/>
    <w:rsid w:val="00582EEC"/>
    <w:rsid w:val="005843D5"/>
    <w:rsid w:val="00585791"/>
    <w:rsid w:val="005858F6"/>
    <w:rsid w:val="00585D87"/>
    <w:rsid w:val="0058611E"/>
    <w:rsid w:val="005865B6"/>
    <w:rsid w:val="00587F39"/>
    <w:rsid w:val="005900A8"/>
    <w:rsid w:val="00590390"/>
    <w:rsid w:val="005907B2"/>
    <w:rsid w:val="005907DB"/>
    <w:rsid w:val="00590807"/>
    <w:rsid w:val="005916ED"/>
    <w:rsid w:val="00591C9D"/>
    <w:rsid w:val="00594B44"/>
    <w:rsid w:val="00596046"/>
    <w:rsid w:val="00596073"/>
    <w:rsid w:val="00596755"/>
    <w:rsid w:val="00596806"/>
    <w:rsid w:val="00597091"/>
    <w:rsid w:val="005977DE"/>
    <w:rsid w:val="005A1FF9"/>
    <w:rsid w:val="005A2596"/>
    <w:rsid w:val="005A2F52"/>
    <w:rsid w:val="005A4550"/>
    <w:rsid w:val="005A48C4"/>
    <w:rsid w:val="005A58EA"/>
    <w:rsid w:val="005A6708"/>
    <w:rsid w:val="005A7087"/>
    <w:rsid w:val="005A7349"/>
    <w:rsid w:val="005A7670"/>
    <w:rsid w:val="005A7E7F"/>
    <w:rsid w:val="005A7EE4"/>
    <w:rsid w:val="005B068D"/>
    <w:rsid w:val="005B1BB5"/>
    <w:rsid w:val="005B30D6"/>
    <w:rsid w:val="005B3AD5"/>
    <w:rsid w:val="005B44E5"/>
    <w:rsid w:val="005B4759"/>
    <w:rsid w:val="005B4761"/>
    <w:rsid w:val="005B4DB9"/>
    <w:rsid w:val="005B525C"/>
    <w:rsid w:val="005B53F1"/>
    <w:rsid w:val="005B56B1"/>
    <w:rsid w:val="005B5803"/>
    <w:rsid w:val="005B5E2A"/>
    <w:rsid w:val="005B6DD2"/>
    <w:rsid w:val="005B721C"/>
    <w:rsid w:val="005B764D"/>
    <w:rsid w:val="005C173B"/>
    <w:rsid w:val="005C3A64"/>
    <w:rsid w:val="005C3EAD"/>
    <w:rsid w:val="005C4C64"/>
    <w:rsid w:val="005C4EA7"/>
    <w:rsid w:val="005C6917"/>
    <w:rsid w:val="005C70BC"/>
    <w:rsid w:val="005C7920"/>
    <w:rsid w:val="005C7FAA"/>
    <w:rsid w:val="005D0FEB"/>
    <w:rsid w:val="005D1E99"/>
    <w:rsid w:val="005D24E8"/>
    <w:rsid w:val="005D26D6"/>
    <w:rsid w:val="005D28DC"/>
    <w:rsid w:val="005D29D5"/>
    <w:rsid w:val="005D30E8"/>
    <w:rsid w:val="005D3114"/>
    <w:rsid w:val="005D43BC"/>
    <w:rsid w:val="005D463D"/>
    <w:rsid w:val="005D48BB"/>
    <w:rsid w:val="005D58C5"/>
    <w:rsid w:val="005D5C56"/>
    <w:rsid w:val="005D6982"/>
    <w:rsid w:val="005D7BBC"/>
    <w:rsid w:val="005E0117"/>
    <w:rsid w:val="005E1DFB"/>
    <w:rsid w:val="005E230A"/>
    <w:rsid w:val="005E2496"/>
    <w:rsid w:val="005E274B"/>
    <w:rsid w:val="005E296D"/>
    <w:rsid w:val="005E4351"/>
    <w:rsid w:val="005E4655"/>
    <w:rsid w:val="005E4767"/>
    <w:rsid w:val="005E482F"/>
    <w:rsid w:val="005E4D95"/>
    <w:rsid w:val="005E5238"/>
    <w:rsid w:val="005E5440"/>
    <w:rsid w:val="005E5FDC"/>
    <w:rsid w:val="005E6D57"/>
    <w:rsid w:val="005E75A2"/>
    <w:rsid w:val="005E76A0"/>
    <w:rsid w:val="005F0046"/>
    <w:rsid w:val="005F0126"/>
    <w:rsid w:val="005F01F3"/>
    <w:rsid w:val="005F0534"/>
    <w:rsid w:val="005F0A67"/>
    <w:rsid w:val="005F16A5"/>
    <w:rsid w:val="005F172C"/>
    <w:rsid w:val="005F1754"/>
    <w:rsid w:val="005F2A68"/>
    <w:rsid w:val="005F2C3F"/>
    <w:rsid w:val="005F4CDC"/>
    <w:rsid w:val="005F4EB2"/>
    <w:rsid w:val="005F7302"/>
    <w:rsid w:val="005F741E"/>
    <w:rsid w:val="005F745C"/>
    <w:rsid w:val="005F7E37"/>
    <w:rsid w:val="005F7E39"/>
    <w:rsid w:val="006001AF"/>
    <w:rsid w:val="00600ED3"/>
    <w:rsid w:val="00601447"/>
    <w:rsid w:val="00603086"/>
    <w:rsid w:val="00605FEF"/>
    <w:rsid w:val="00606191"/>
    <w:rsid w:val="00606991"/>
    <w:rsid w:val="006069EC"/>
    <w:rsid w:val="006076EA"/>
    <w:rsid w:val="00607D01"/>
    <w:rsid w:val="00610132"/>
    <w:rsid w:val="00610F42"/>
    <w:rsid w:val="00611EB2"/>
    <w:rsid w:val="006129D9"/>
    <w:rsid w:val="00612C0A"/>
    <w:rsid w:val="00613677"/>
    <w:rsid w:val="00613A40"/>
    <w:rsid w:val="00613CEC"/>
    <w:rsid w:val="0061419B"/>
    <w:rsid w:val="006146C5"/>
    <w:rsid w:val="006162A1"/>
    <w:rsid w:val="006165AB"/>
    <w:rsid w:val="0061772C"/>
    <w:rsid w:val="006237EA"/>
    <w:rsid w:val="00625246"/>
    <w:rsid w:val="0062535C"/>
    <w:rsid w:val="006254FA"/>
    <w:rsid w:val="0062568E"/>
    <w:rsid w:val="006263DC"/>
    <w:rsid w:val="006271BF"/>
    <w:rsid w:val="00627EDE"/>
    <w:rsid w:val="006302F9"/>
    <w:rsid w:val="00631551"/>
    <w:rsid w:val="0063163D"/>
    <w:rsid w:val="00631E34"/>
    <w:rsid w:val="00632712"/>
    <w:rsid w:val="00634140"/>
    <w:rsid w:val="006345B7"/>
    <w:rsid w:val="00634624"/>
    <w:rsid w:val="006347D7"/>
    <w:rsid w:val="00635045"/>
    <w:rsid w:val="006354DB"/>
    <w:rsid w:val="00636223"/>
    <w:rsid w:val="00636785"/>
    <w:rsid w:val="00636FD6"/>
    <w:rsid w:val="00637A17"/>
    <w:rsid w:val="0064030E"/>
    <w:rsid w:val="00640821"/>
    <w:rsid w:val="00640B9E"/>
    <w:rsid w:val="0064168E"/>
    <w:rsid w:val="00641CEB"/>
    <w:rsid w:val="00642403"/>
    <w:rsid w:val="00644AD2"/>
    <w:rsid w:val="006450AF"/>
    <w:rsid w:val="006451CE"/>
    <w:rsid w:val="006459B4"/>
    <w:rsid w:val="00647174"/>
    <w:rsid w:val="00647587"/>
    <w:rsid w:val="00650564"/>
    <w:rsid w:val="006505F2"/>
    <w:rsid w:val="0065087D"/>
    <w:rsid w:val="006511B3"/>
    <w:rsid w:val="0065188C"/>
    <w:rsid w:val="00651F36"/>
    <w:rsid w:val="00652D86"/>
    <w:rsid w:val="006533D7"/>
    <w:rsid w:val="006534C1"/>
    <w:rsid w:val="006537C3"/>
    <w:rsid w:val="0065594E"/>
    <w:rsid w:val="00655F78"/>
    <w:rsid w:val="00655FC7"/>
    <w:rsid w:val="006564E5"/>
    <w:rsid w:val="00656D6C"/>
    <w:rsid w:val="00656DF2"/>
    <w:rsid w:val="006578E2"/>
    <w:rsid w:val="006603D1"/>
    <w:rsid w:val="00661731"/>
    <w:rsid w:val="00661A25"/>
    <w:rsid w:val="00661B4F"/>
    <w:rsid w:val="00661FF1"/>
    <w:rsid w:val="006620D8"/>
    <w:rsid w:val="006627C6"/>
    <w:rsid w:val="00662895"/>
    <w:rsid w:val="00662CBD"/>
    <w:rsid w:val="00663BA8"/>
    <w:rsid w:val="00663E42"/>
    <w:rsid w:val="00666F22"/>
    <w:rsid w:val="00667E48"/>
    <w:rsid w:val="00670A3D"/>
    <w:rsid w:val="006716ED"/>
    <w:rsid w:val="006717CD"/>
    <w:rsid w:val="00673182"/>
    <w:rsid w:val="006732EA"/>
    <w:rsid w:val="0067381C"/>
    <w:rsid w:val="00674022"/>
    <w:rsid w:val="00674E0F"/>
    <w:rsid w:val="0067632C"/>
    <w:rsid w:val="00676C2F"/>
    <w:rsid w:val="0067726D"/>
    <w:rsid w:val="006774A9"/>
    <w:rsid w:val="006806D4"/>
    <w:rsid w:val="0068075A"/>
    <w:rsid w:val="00680E08"/>
    <w:rsid w:val="00681583"/>
    <w:rsid w:val="006819E0"/>
    <w:rsid w:val="00681FAA"/>
    <w:rsid w:val="00683952"/>
    <w:rsid w:val="00683CB2"/>
    <w:rsid w:val="006841CA"/>
    <w:rsid w:val="00684372"/>
    <w:rsid w:val="00685310"/>
    <w:rsid w:val="00685E97"/>
    <w:rsid w:val="006860FA"/>
    <w:rsid w:val="006869D6"/>
    <w:rsid w:val="00686F80"/>
    <w:rsid w:val="00687842"/>
    <w:rsid w:val="00690346"/>
    <w:rsid w:val="00690C64"/>
    <w:rsid w:val="00690CC7"/>
    <w:rsid w:val="0069214F"/>
    <w:rsid w:val="00692877"/>
    <w:rsid w:val="00692B92"/>
    <w:rsid w:val="00693032"/>
    <w:rsid w:val="00693370"/>
    <w:rsid w:val="0069362A"/>
    <w:rsid w:val="0069479C"/>
    <w:rsid w:val="00694B5D"/>
    <w:rsid w:val="00694BD6"/>
    <w:rsid w:val="006963DB"/>
    <w:rsid w:val="006972D0"/>
    <w:rsid w:val="00697451"/>
    <w:rsid w:val="00697EEF"/>
    <w:rsid w:val="00697EFA"/>
    <w:rsid w:val="006A0359"/>
    <w:rsid w:val="006A1B41"/>
    <w:rsid w:val="006A2328"/>
    <w:rsid w:val="006A506B"/>
    <w:rsid w:val="006A5F72"/>
    <w:rsid w:val="006A6418"/>
    <w:rsid w:val="006A6514"/>
    <w:rsid w:val="006A7939"/>
    <w:rsid w:val="006A7D38"/>
    <w:rsid w:val="006B18B7"/>
    <w:rsid w:val="006B1B33"/>
    <w:rsid w:val="006B275C"/>
    <w:rsid w:val="006B3745"/>
    <w:rsid w:val="006B3D49"/>
    <w:rsid w:val="006B457D"/>
    <w:rsid w:val="006B4993"/>
    <w:rsid w:val="006B70A8"/>
    <w:rsid w:val="006B7273"/>
    <w:rsid w:val="006C07DB"/>
    <w:rsid w:val="006C0BD1"/>
    <w:rsid w:val="006C159F"/>
    <w:rsid w:val="006C1751"/>
    <w:rsid w:val="006C22E2"/>
    <w:rsid w:val="006C2791"/>
    <w:rsid w:val="006C3E06"/>
    <w:rsid w:val="006C4972"/>
    <w:rsid w:val="006C4F38"/>
    <w:rsid w:val="006C58BE"/>
    <w:rsid w:val="006C6402"/>
    <w:rsid w:val="006C6580"/>
    <w:rsid w:val="006C6A93"/>
    <w:rsid w:val="006C6BD3"/>
    <w:rsid w:val="006C6D89"/>
    <w:rsid w:val="006C7523"/>
    <w:rsid w:val="006D0892"/>
    <w:rsid w:val="006D2367"/>
    <w:rsid w:val="006D25D2"/>
    <w:rsid w:val="006D25D4"/>
    <w:rsid w:val="006D2845"/>
    <w:rsid w:val="006D288B"/>
    <w:rsid w:val="006D320F"/>
    <w:rsid w:val="006D4138"/>
    <w:rsid w:val="006D6B7E"/>
    <w:rsid w:val="006D6F80"/>
    <w:rsid w:val="006D71FD"/>
    <w:rsid w:val="006D7C4A"/>
    <w:rsid w:val="006D7CC7"/>
    <w:rsid w:val="006E0F7B"/>
    <w:rsid w:val="006E10A9"/>
    <w:rsid w:val="006E15DC"/>
    <w:rsid w:val="006E2DAA"/>
    <w:rsid w:val="006E5164"/>
    <w:rsid w:val="006E65A6"/>
    <w:rsid w:val="006E76D4"/>
    <w:rsid w:val="006E78EF"/>
    <w:rsid w:val="006F1A80"/>
    <w:rsid w:val="006F1E36"/>
    <w:rsid w:val="006F2395"/>
    <w:rsid w:val="006F2823"/>
    <w:rsid w:val="006F33E2"/>
    <w:rsid w:val="006F3C5B"/>
    <w:rsid w:val="006F3D41"/>
    <w:rsid w:val="006F41CC"/>
    <w:rsid w:val="006F433A"/>
    <w:rsid w:val="006F4EBB"/>
    <w:rsid w:val="006F54C8"/>
    <w:rsid w:val="006F55AB"/>
    <w:rsid w:val="006F624E"/>
    <w:rsid w:val="006F6518"/>
    <w:rsid w:val="006F682E"/>
    <w:rsid w:val="006F6890"/>
    <w:rsid w:val="00700FDC"/>
    <w:rsid w:val="00701F5D"/>
    <w:rsid w:val="0070217E"/>
    <w:rsid w:val="007032CC"/>
    <w:rsid w:val="00703BF2"/>
    <w:rsid w:val="007042E7"/>
    <w:rsid w:val="00704388"/>
    <w:rsid w:val="00704F18"/>
    <w:rsid w:val="007058E3"/>
    <w:rsid w:val="00705C5F"/>
    <w:rsid w:val="00706232"/>
    <w:rsid w:val="00707CF2"/>
    <w:rsid w:val="00710372"/>
    <w:rsid w:val="007106A9"/>
    <w:rsid w:val="00710803"/>
    <w:rsid w:val="0071092C"/>
    <w:rsid w:val="00710B1E"/>
    <w:rsid w:val="007116EC"/>
    <w:rsid w:val="00711DD4"/>
    <w:rsid w:val="00712417"/>
    <w:rsid w:val="00712E3D"/>
    <w:rsid w:val="007134C0"/>
    <w:rsid w:val="007136F1"/>
    <w:rsid w:val="00713B30"/>
    <w:rsid w:val="007142B3"/>
    <w:rsid w:val="00714765"/>
    <w:rsid w:val="0071529C"/>
    <w:rsid w:val="007158FA"/>
    <w:rsid w:val="00716472"/>
    <w:rsid w:val="00716EE6"/>
    <w:rsid w:val="007175A4"/>
    <w:rsid w:val="007179E1"/>
    <w:rsid w:val="007201A0"/>
    <w:rsid w:val="00720384"/>
    <w:rsid w:val="0072056C"/>
    <w:rsid w:val="007205C9"/>
    <w:rsid w:val="007206FD"/>
    <w:rsid w:val="00723BBB"/>
    <w:rsid w:val="00724C23"/>
    <w:rsid w:val="00724CA8"/>
    <w:rsid w:val="00724DF2"/>
    <w:rsid w:val="007254E7"/>
    <w:rsid w:val="00727128"/>
    <w:rsid w:val="00727DCA"/>
    <w:rsid w:val="00727EF7"/>
    <w:rsid w:val="00730AEA"/>
    <w:rsid w:val="00730B09"/>
    <w:rsid w:val="00732A8B"/>
    <w:rsid w:val="007347C1"/>
    <w:rsid w:val="0073588C"/>
    <w:rsid w:val="0073596D"/>
    <w:rsid w:val="00735E7B"/>
    <w:rsid w:val="00735ED8"/>
    <w:rsid w:val="00736A56"/>
    <w:rsid w:val="007375E2"/>
    <w:rsid w:val="00737675"/>
    <w:rsid w:val="00737AAE"/>
    <w:rsid w:val="0074022B"/>
    <w:rsid w:val="0074052B"/>
    <w:rsid w:val="007429A0"/>
    <w:rsid w:val="00743143"/>
    <w:rsid w:val="00744097"/>
    <w:rsid w:val="007441C3"/>
    <w:rsid w:val="007448BD"/>
    <w:rsid w:val="00744FE1"/>
    <w:rsid w:val="0074581E"/>
    <w:rsid w:val="00746E36"/>
    <w:rsid w:val="007470D1"/>
    <w:rsid w:val="0074711B"/>
    <w:rsid w:val="007471AF"/>
    <w:rsid w:val="00750487"/>
    <w:rsid w:val="0075094B"/>
    <w:rsid w:val="00750BA1"/>
    <w:rsid w:val="007518DB"/>
    <w:rsid w:val="00751ABF"/>
    <w:rsid w:val="00751F70"/>
    <w:rsid w:val="0075298E"/>
    <w:rsid w:val="007535EF"/>
    <w:rsid w:val="00753FD1"/>
    <w:rsid w:val="007540FA"/>
    <w:rsid w:val="007574C7"/>
    <w:rsid w:val="007603C8"/>
    <w:rsid w:val="00760586"/>
    <w:rsid w:val="0076081A"/>
    <w:rsid w:val="00761090"/>
    <w:rsid w:val="007612DC"/>
    <w:rsid w:val="0076233C"/>
    <w:rsid w:val="00763564"/>
    <w:rsid w:val="00763E01"/>
    <w:rsid w:val="00764473"/>
    <w:rsid w:val="007645BD"/>
    <w:rsid w:val="007652A8"/>
    <w:rsid w:val="007667A1"/>
    <w:rsid w:val="00766C78"/>
    <w:rsid w:val="00767899"/>
    <w:rsid w:val="0076792A"/>
    <w:rsid w:val="007714F0"/>
    <w:rsid w:val="00771870"/>
    <w:rsid w:val="00772006"/>
    <w:rsid w:val="00772EB4"/>
    <w:rsid w:val="00773278"/>
    <w:rsid w:val="00773406"/>
    <w:rsid w:val="00774106"/>
    <w:rsid w:val="007743C2"/>
    <w:rsid w:val="007753DB"/>
    <w:rsid w:val="00775D5A"/>
    <w:rsid w:val="00776251"/>
    <w:rsid w:val="0077767E"/>
    <w:rsid w:val="007779BA"/>
    <w:rsid w:val="007803FD"/>
    <w:rsid w:val="007810F5"/>
    <w:rsid w:val="007822B7"/>
    <w:rsid w:val="0078240D"/>
    <w:rsid w:val="00782BE8"/>
    <w:rsid w:val="007833A0"/>
    <w:rsid w:val="00783716"/>
    <w:rsid w:val="0078404B"/>
    <w:rsid w:val="007842DE"/>
    <w:rsid w:val="0078441B"/>
    <w:rsid w:val="007848A5"/>
    <w:rsid w:val="00784A5F"/>
    <w:rsid w:val="00784AE9"/>
    <w:rsid w:val="00784E06"/>
    <w:rsid w:val="007852B3"/>
    <w:rsid w:val="00785432"/>
    <w:rsid w:val="007866AC"/>
    <w:rsid w:val="00786836"/>
    <w:rsid w:val="00790657"/>
    <w:rsid w:val="0079071E"/>
    <w:rsid w:val="00792DDB"/>
    <w:rsid w:val="00794DB1"/>
    <w:rsid w:val="00795156"/>
    <w:rsid w:val="00795470"/>
    <w:rsid w:val="0079603E"/>
    <w:rsid w:val="00796C71"/>
    <w:rsid w:val="00797235"/>
    <w:rsid w:val="007976B6"/>
    <w:rsid w:val="00797E94"/>
    <w:rsid w:val="00797EA1"/>
    <w:rsid w:val="007A0077"/>
    <w:rsid w:val="007A0869"/>
    <w:rsid w:val="007A1169"/>
    <w:rsid w:val="007A1A06"/>
    <w:rsid w:val="007A256A"/>
    <w:rsid w:val="007A28F5"/>
    <w:rsid w:val="007A392B"/>
    <w:rsid w:val="007A5E41"/>
    <w:rsid w:val="007A7D06"/>
    <w:rsid w:val="007B003C"/>
    <w:rsid w:val="007B0379"/>
    <w:rsid w:val="007B1D32"/>
    <w:rsid w:val="007B2162"/>
    <w:rsid w:val="007B3B43"/>
    <w:rsid w:val="007B3E38"/>
    <w:rsid w:val="007B58E1"/>
    <w:rsid w:val="007B5DA5"/>
    <w:rsid w:val="007B6931"/>
    <w:rsid w:val="007B6F25"/>
    <w:rsid w:val="007B7074"/>
    <w:rsid w:val="007B7B41"/>
    <w:rsid w:val="007B7EBD"/>
    <w:rsid w:val="007C0295"/>
    <w:rsid w:val="007C061A"/>
    <w:rsid w:val="007C0E20"/>
    <w:rsid w:val="007C101F"/>
    <w:rsid w:val="007C16F8"/>
    <w:rsid w:val="007C1EE5"/>
    <w:rsid w:val="007C3396"/>
    <w:rsid w:val="007C349C"/>
    <w:rsid w:val="007C39E4"/>
    <w:rsid w:val="007C3CAE"/>
    <w:rsid w:val="007C40F8"/>
    <w:rsid w:val="007C44D5"/>
    <w:rsid w:val="007C49D8"/>
    <w:rsid w:val="007C4C6B"/>
    <w:rsid w:val="007C4F5F"/>
    <w:rsid w:val="007C5EA2"/>
    <w:rsid w:val="007C6016"/>
    <w:rsid w:val="007C6C92"/>
    <w:rsid w:val="007C728D"/>
    <w:rsid w:val="007C7BBE"/>
    <w:rsid w:val="007D003A"/>
    <w:rsid w:val="007D111D"/>
    <w:rsid w:val="007D1780"/>
    <w:rsid w:val="007D1A93"/>
    <w:rsid w:val="007D294A"/>
    <w:rsid w:val="007D2B3A"/>
    <w:rsid w:val="007D2B60"/>
    <w:rsid w:val="007D2CD8"/>
    <w:rsid w:val="007D2F60"/>
    <w:rsid w:val="007D3DD7"/>
    <w:rsid w:val="007D4875"/>
    <w:rsid w:val="007D4DE3"/>
    <w:rsid w:val="007D5982"/>
    <w:rsid w:val="007D741B"/>
    <w:rsid w:val="007D7B19"/>
    <w:rsid w:val="007E07CE"/>
    <w:rsid w:val="007E0FF7"/>
    <w:rsid w:val="007E12EB"/>
    <w:rsid w:val="007E1C1C"/>
    <w:rsid w:val="007E1E50"/>
    <w:rsid w:val="007E2481"/>
    <w:rsid w:val="007E27BE"/>
    <w:rsid w:val="007E2A40"/>
    <w:rsid w:val="007E2EFE"/>
    <w:rsid w:val="007E3700"/>
    <w:rsid w:val="007E4A23"/>
    <w:rsid w:val="007E4E6B"/>
    <w:rsid w:val="007E5374"/>
    <w:rsid w:val="007E61B2"/>
    <w:rsid w:val="007E62FE"/>
    <w:rsid w:val="007E70B9"/>
    <w:rsid w:val="007E7546"/>
    <w:rsid w:val="007E766C"/>
    <w:rsid w:val="007E7A6B"/>
    <w:rsid w:val="007F0089"/>
    <w:rsid w:val="007F03DB"/>
    <w:rsid w:val="007F0413"/>
    <w:rsid w:val="007F10AC"/>
    <w:rsid w:val="007F12F5"/>
    <w:rsid w:val="007F18F5"/>
    <w:rsid w:val="007F22A7"/>
    <w:rsid w:val="007F2AEB"/>
    <w:rsid w:val="007F32E8"/>
    <w:rsid w:val="007F3447"/>
    <w:rsid w:val="007F4831"/>
    <w:rsid w:val="007F5109"/>
    <w:rsid w:val="007F64EE"/>
    <w:rsid w:val="007F6603"/>
    <w:rsid w:val="007F6A17"/>
    <w:rsid w:val="007F6C79"/>
    <w:rsid w:val="007F7729"/>
    <w:rsid w:val="00800801"/>
    <w:rsid w:val="00800EB1"/>
    <w:rsid w:val="00800EE3"/>
    <w:rsid w:val="00801140"/>
    <w:rsid w:val="00801164"/>
    <w:rsid w:val="00801630"/>
    <w:rsid w:val="00802806"/>
    <w:rsid w:val="00803E0B"/>
    <w:rsid w:val="008047E4"/>
    <w:rsid w:val="00804ADF"/>
    <w:rsid w:val="00804C95"/>
    <w:rsid w:val="00805458"/>
    <w:rsid w:val="00805564"/>
    <w:rsid w:val="00805C51"/>
    <w:rsid w:val="00806368"/>
    <w:rsid w:val="0080661E"/>
    <w:rsid w:val="008069C6"/>
    <w:rsid w:val="008073B1"/>
    <w:rsid w:val="00807B88"/>
    <w:rsid w:val="008102A1"/>
    <w:rsid w:val="0081298A"/>
    <w:rsid w:val="00815C90"/>
    <w:rsid w:val="00815FE5"/>
    <w:rsid w:val="008164A6"/>
    <w:rsid w:val="0081651D"/>
    <w:rsid w:val="00816727"/>
    <w:rsid w:val="00816981"/>
    <w:rsid w:val="00816D27"/>
    <w:rsid w:val="00820F7A"/>
    <w:rsid w:val="008225FA"/>
    <w:rsid w:val="00822AFD"/>
    <w:rsid w:val="00823031"/>
    <w:rsid w:val="008230CD"/>
    <w:rsid w:val="0082366F"/>
    <w:rsid w:val="008236ED"/>
    <w:rsid w:val="00823D63"/>
    <w:rsid w:val="00823F80"/>
    <w:rsid w:val="00824E4A"/>
    <w:rsid w:val="0082570D"/>
    <w:rsid w:val="00825B07"/>
    <w:rsid w:val="00827A45"/>
    <w:rsid w:val="00827DB5"/>
    <w:rsid w:val="008315B6"/>
    <w:rsid w:val="0083277A"/>
    <w:rsid w:val="00833132"/>
    <w:rsid w:val="00833579"/>
    <w:rsid w:val="008338F5"/>
    <w:rsid w:val="00833E51"/>
    <w:rsid w:val="00834FE0"/>
    <w:rsid w:val="00835878"/>
    <w:rsid w:val="00841DCC"/>
    <w:rsid w:val="008424C6"/>
    <w:rsid w:val="00842918"/>
    <w:rsid w:val="00842B0A"/>
    <w:rsid w:val="0084334A"/>
    <w:rsid w:val="00843446"/>
    <w:rsid w:val="0084369D"/>
    <w:rsid w:val="00843BB7"/>
    <w:rsid w:val="0084644C"/>
    <w:rsid w:val="00846B74"/>
    <w:rsid w:val="00850312"/>
    <w:rsid w:val="00851123"/>
    <w:rsid w:val="0085155F"/>
    <w:rsid w:val="00851D0B"/>
    <w:rsid w:val="00852C2C"/>
    <w:rsid w:val="00852DFA"/>
    <w:rsid w:val="0085349C"/>
    <w:rsid w:val="008539A2"/>
    <w:rsid w:val="00853F2E"/>
    <w:rsid w:val="00854B20"/>
    <w:rsid w:val="00855132"/>
    <w:rsid w:val="0085532A"/>
    <w:rsid w:val="008575B8"/>
    <w:rsid w:val="00857E04"/>
    <w:rsid w:val="00860CA0"/>
    <w:rsid w:val="008613DC"/>
    <w:rsid w:val="00861DCA"/>
    <w:rsid w:val="008623EE"/>
    <w:rsid w:val="00862C57"/>
    <w:rsid w:val="00863364"/>
    <w:rsid w:val="008635FA"/>
    <w:rsid w:val="00864309"/>
    <w:rsid w:val="00864878"/>
    <w:rsid w:val="00865149"/>
    <w:rsid w:val="00865CAC"/>
    <w:rsid w:val="0086665A"/>
    <w:rsid w:val="00867CB1"/>
    <w:rsid w:val="00867E36"/>
    <w:rsid w:val="00870C65"/>
    <w:rsid w:val="00871255"/>
    <w:rsid w:val="00871678"/>
    <w:rsid w:val="00872671"/>
    <w:rsid w:val="00872965"/>
    <w:rsid w:val="00872D9B"/>
    <w:rsid w:val="0087358B"/>
    <w:rsid w:val="008753D1"/>
    <w:rsid w:val="00876B65"/>
    <w:rsid w:val="00880050"/>
    <w:rsid w:val="0088095F"/>
    <w:rsid w:val="00881211"/>
    <w:rsid w:val="00881849"/>
    <w:rsid w:val="00882D1D"/>
    <w:rsid w:val="0088360C"/>
    <w:rsid w:val="008838D6"/>
    <w:rsid w:val="00883A51"/>
    <w:rsid w:val="00883F07"/>
    <w:rsid w:val="00884018"/>
    <w:rsid w:val="00884FB6"/>
    <w:rsid w:val="00885259"/>
    <w:rsid w:val="00885601"/>
    <w:rsid w:val="00885D7A"/>
    <w:rsid w:val="00886477"/>
    <w:rsid w:val="00886D30"/>
    <w:rsid w:val="00886FCF"/>
    <w:rsid w:val="008877C4"/>
    <w:rsid w:val="008877E9"/>
    <w:rsid w:val="00887E40"/>
    <w:rsid w:val="00887F57"/>
    <w:rsid w:val="008905D6"/>
    <w:rsid w:val="00890638"/>
    <w:rsid w:val="00893B18"/>
    <w:rsid w:val="00893B9F"/>
    <w:rsid w:val="00896599"/>
    <w:rsid w:val="008971BF"/>
    <w:rsid w:val="00897F7E"/>
    <w:rsid w:val="008A06A0"/>
    <w:rsid w:val="008A1190"/>
    <w:rsid w:val="008A14D1"/>
    <w:rsid w:val="008A1B2B"/>
    <w:rsid w:val="008A1CE7"/>
    <w:rsid w:val="008A2389"/>
    <w:rsid w:val="008A25B5"/>
    <w:rsid w:val="008A29A3"/>
    <w:rsid w:val="008A2F60"/>
    <w:rsid w:val="008A3048"/>
    <w:rsid w:val="008A483E"/>
    <w:rsid w:val="008A4CD7"/>
    <w:rsid w:val="008A4D32"/>
    <w:rsid w:val="008A5B8B"/>
    <w:rsid w:val="008A5F17"/>
    <w:rsid w:val="008A6CDD"/>
    <w:rsid w:val="008B011B"/>
    <w:rsid w:val="008B0C6D"/>
    <w:rsid w:val="008B1B9D"/>
    <w:rsid w:val="008B2FE7"/>
    <w:rsid w:val="008B3A12"/>
    <w:rsid w:val="008B3DF9"/>
    <w:rsid w:val="008B5E52"/>
    <w:rsid w:val="008B6461"/>
    <w:rsid w:val="008B6C2C"/>
    <w:rsid w:val="008B7509"/>
    <w:rsid w:val="008B755C"/>
    <w:rsid w:val="008B766D"/>
    <w:rsid w:val="008C00D8"/>
    <w:rsid w:val="008C0743"/>
    <w:rsid w:val="008C0B4D"/>
    <w:rsid w:val="008C0E64"/>
    <w:rsid w:val="008C1F0B"/>
    <w:rsid w:val="008C2C7D"/>
    <w:rsid w:val="008C2D67"/>
    <w:rsid w:val="008C337F"/>
    <w:rsid w:val="008C4CD3"/>
    <w:rsid w:val="008C6031"/>
    <w:rsid w:val="008C721A"/>
    <w:rsid w:val="008D1126"/>
    <w:rsid w:val="008D11C6"/>
    <w:rsid w:val="008D1993"/>
    <w:rsid w:val="008D1DD7"/>
    <w:rsid w:val="008D2233"/>
    <w:rsid w:val="008D2AD0"/>
    <w:rsid w:val="008D3177"/>
    <w:rsid w:val="008D329C"/>
    <w:rsid w:val="008D379A"/>
    <w:rsid w:val="008D45C9"/>
    <w:rsid w:val="008D46FE"/>
    <w:rsid w:val="008D4A41"/>
    <w:rsid w:val="008D5265"/>
    <w:rsid w:val="008D5557"/>
    <w:rsid w:val="008D5671"/>
    <w:rsid w:val="008D5A74"/>
    <w:rsid w:val="008D5B4E"/>
    <w:rsid w:val="008D7223"/>
    <w:rsid w:val="008E0C5F"/>
    <w:rsid w:val="008E22A6"/>
    <w:rsid w:val="008E284E"/>
    <w:rsid w:val="008E2BB6"/>
    <w:rsid w:val="008E51F9"/>
    <w:rsid w:val="008E5342"/>
    <w:rsid w:val="008E55AB"/>
    <w:rsid w:val="008E57A0"/>
    <w:rsid w:val="008E738C"/>
    <w:rsid w:val="008E7A85"/>
    <w:rsid w:val="008E7A9F"/>
    <w:rsid w:val="008F06C1"/>
    <w:rsid w:val="008F0ADB"/>
    <w:rsid w:val="008F0B2D"/>
    <w:rsid w:val="008F1D5C"/>
    <w:rsid w:val="008F2AFD"/>
    <w:rsid w:val="008F3299"/>
    <w:rsid w:val="008F416B"/>
    <w:rsid w:val="008F4170"/>
    <w:rsid w:val="008F5317"/>
    <w:rsid w:val="008F560B"/>
    <w:rsid w:val="008F6D9F"/>
    <w:rsid w:val="00900197"/>
    <w:rsid w:val="00900C36"/>
    <w:rsid w:val="00900E6A"/>
    <w:rsid w:val="00901631"/>
    <w:rsid w:val="00901A28"/>
    <w:rsid w:val="0090243F"/>
    <w:rsid w:val="00902C37"/>
    <w:rsid w:val="00903799"/>
    <w:rsid w:val="00904B1F"/>
    <w:rsid w:val="00904C74"/>
    <w:rsid w:val="00904D4A"/>
    <w:rsid w:val="00905776"/>
    <w:rsid w:val="00905EDF"/>
    <w:rsid w:val="0090612E"/>
    <w:rsid w:val="00907B00"/>
    <w:rsid w:val="009103A1"/>
    <w:rsid w:val="00911D20"/>
    <w:rsid w:val="00912125"/>
    <w:rsid w:val="00913280"/>
    <w:rsid w:val="00913510"/>
    <w:rsid w:val="00913B21"/>
    <w:rsid w:val="00913B74"/>
    <w:rsid w:val="00913FA4"/>
    <w:rsid w:val="0091468D"/>
    <w:rsid w:val="009150BF"/>
    <w:rsid w:val="0091539D"/>
    <w:rsid w:val="009154CE"/>
    <w:rsid w:val="00915D46"/>
    <w:rsid w:val="009167FD"/>
    <w:rsid w:val="00916F81"/>
    <w:rsid w:val="0091731B"/>
    <w:rsid w:val="00917345"/>
    <w:rsid w:val="00917536"/>
    <w:rsid w:val="009177C9"/>
    <w:rsid w:val="00920D3F"/>
    <w:rsid w:val="009213A4"/>
    <w:rsid w:val="0092158E"/>
    <w:rsid w:val="00922315"/>
    <w:rsid w:val="009226B5"/>
    <w:rsid w:val="00922CAD"/>
    <w:rsid w:val="00922E6F"/>
    <w:rsid w:val="00923E95"/>
    <w:rsid w:val="00923F51"/>
    <w:rsid w:val="009240D7"/>
    <w:rsid w:val="00925F4C"/>
    <w:rsid w:val="009303D1"/>
    <w:rsid w:val="009306BA"/>
    <w:rsid w:val="00930C26"/>
    <w:rsid w:val="00931A43"/>
    <w:rsid w:val="00933058"/>
    <w:rsid w:val="00933E25"/>
    <w:rsid w:val="00934226"/>
    <w:rsid w:val="0093500C"/>
    <w:rsid w:val="00936013"/>
    <w:rsid w:val="009367E0"/>
    <w:rsid w:val="00937195"/>
    <w:rsid w:val="009372AC"/>
    <w:rsid w:val="00937B42"/>
    <w:rsid w:val="0094074B"/>
    <w:rsid w:val="009409D3"/>
    <w:rsid w:val="00940E6D"/>
    <w:rsid w:val="00941784"/>
    <w:rsid w:val="00941808"/>
    <w:rsid w:val="0094232B"/>
    <w:rsid w:val="00942A50"/>
    <w:rsid w:val="009435A6"/>
    <w:rsid w:val="0094413F"/>
    <w:rsid w:val="009442B8"/>
    <w:rsid w:val="00945A5B"/>
    <w:rsid w:val="00945E15"/>
    <w:rsid w:val="009471AC"/>
    <w:rsid w:val="00950543"/>
    <w:rsid w:val="009506DD"/>
    <w:rsid w:val="00951EA4"/>
    <w:rsid w:val="009521D6"/>
    <w:rsid w:val="00953214"/>
    <w:rsid w:val="009540E0"/>
    <w:rsid w:val="0095432E"/>
    <w:rsid w:val="00955011"/>
    <w:rsid w:val="00955630"/>
    <w:rsid w:val="009558E0"/>
    <w:rsid w:val="00955CE6"/>
    <w:rsid w:val="0095618A"/>
    <w:rsid w:val="00956657"/>
    <w:rsid w:val="00957401"/>
    <w:rsid w:val="00957866"/>
    <w:rsid w:val="0096005C"/>
    <w:rsid w:val="00960D3D"/>
    <w:rsid w:val="00960F71"/>
    <w:rsid w:val="009616F5"/>
    <w:rsid w:val="0096206F"/>
    <w:rsid w:val="0096208B"/>
    <w:rsid w:val="009621D1"/>
    <w:rsid w:val="0096269D"/>
    <w:rsid w:val="009627E7"/>
    <w:rsid w:val="00963748"/>
    <w:rsid w:val="00963795"/>
    <w:rsid w:val="009640FD"/>
    <w:rsid w:val="00964B05"/>
    <w:rsid w:val="00966DEA"/>
    <w:rsid w:val="0096756F"/>
    <w:rsid w:val="00967BE9"/>
    <w:rsid w:val="00970C2D"/>
    <w:rsid w:val="00971968"/>
    <w:rsid w:val="00971F18"/>
    <w:rsid w:val="009724E7"/>
    <w:rsid w:val="00972C0F"/>
    <w:rsid w:val="0097382C"/>
    <w:rsid w:val="0097546C"/>
    <w:rsid w:val="00975685"/>
    <w:rsid w:val="0097569D"/>
    <w:rsid w:val="009767BC"/>
    <w:rsid w:val="009778FB"/>
    <w:rsid w:val="00977F29"/>
    <w:rsid w:val="00980144"/>
    <w:rsid w:val="00980208"/>
    <w:rsid w:val="009809AE"/>
    <w:rsid w:val="00980BE8"/>
    <w:rsid w:val="00981FB0"/>
    <w:rsid w:val="00982D2B"/>
    <w:rsid w:val="009839DC"/>
    <w:rsid w:val="00983D87"/>
    <w:rsid w:val="009842D8"/>
    <w:rsid w:val="009850B0"/>
    <w:rsid w:val="00985FC7"/>
    <w:rsid w:val="00986486"/>
    <w:rsid w:val="009876C4"/>
    <w:rsid w:val="00990196"/>
    <w:rsid w:val="0099326B"/>
    <w:rsid w:val="0099386F"/>
    <w:rsid w:val="00993D0A"/>
    <w:rsid w:val="00993D20"/>
    <w:rsid w:val="00994929"/>
    <w:rsid w:val="009959DF"/>
    <w:rsid w:val="009A085F"/>
    <w:rsid w:val="009A0AB1"/>
    <w:rsid w:val="009A13C1"/>
    <w:rsid w:val="009A1473"/>
    <w:rsid w:val="009A1E75"/>
    <w:rsid w:val="009A2573"/>
    <w:rsid w:val="009A3A16"/>
    <w:rsid w:val="009A488A"/>
    <w:rsid w:val="009A7ED1"/>
    <w:rsid w:val="009B0F4B"/>
    <w:rsid w:val="009B139A"/>
    <w:rsid w:val="009B18CE"/>
    <w:rsid w:val="009B28F9"/>
    <w:rsid w:val="009B3773"/>
    <w:rsid w:val="009B3A8B"/>
    <w:rsid w:val="009B4491"/>
    <w:rsid w:val="009B4C61"/>
    <w:rsid w:val="009B5DB0"/>
    <w:rsid w:val="009B5EF8"/>
    <w:rsid w:val="009C02D6"/>
    <w:rsid w:val="009C06C0"/>
    <w:rsid w:val="009C0802"/>
    <w:rsid w:val="009C0E2F"/>
    <w:rsid w:val="009C2158"/>
    <w:rsid w:val="009C388B"/>
    <w:rsid w:val="009C3AC9"/>
    <w:rsid w:val="009C6CA2"/>
    <w:rsid w:val="009C6DF0"/>
    <w:rsid w:val="009C6E18"/>
    <w:rsid w:val="009C7292"/>
    <w:rsid w:val="009C72BE"/>
    <w:rsid w:val="009C7F3D"/>
    <w:rsid w:val="009D0182"/>
    <w:rsid w:val="009D054A"/>
    <w:rsid w:val="009D0AEE"/>
    <w:rsid w:val="009D109E"/>
    <w:rsid w:val="009D1320"/>
    <w:rsid w:val="009D29F6"/>
    <w:rsid w:val="009D350E"/>
    <w:rsid w:val="009D3F5C"/>
    <w:rsid w:val="009D473E"/>
    <w:rsid w:val="009D5998"/>
    <w:rsid w:val="009D6089"/>
    <w:rsid w:val="009D61DB"/>
    <w:rsid w:val="009D6210"/>
    <w:rsid w:val="009D6848"/>
    <w:rsid w:val="009D6A34"/>
    <w:rsid w:val="009D71B4"/>
    <w:rsid w:val="009D750B"/>
    <w:rsid w:val="009E07EC"/>
    <w:rsid w:val="009E23ED"/>
    <w:rsid w:val="009E2556"/>
    <w:rsid w:val="009E2995"/>
    <w:rsid w:val="009E2BE8"/>
    <w:rsid w:val="009E3691"/>
    <w:rsid w:val="009E3738"/>
    <w:rsid w:val="009E41B9"/>
    <w:rsid w:val="009E4661"/>
    <w:rsid w:val="009E5847"/>
    <w:rsid w:val="009E5D1A"/>
    <w:rsid w:val="009E61B7"/>
    <w:rsid w:val="009E61E0"/>
    <w:rsid w:val="009E6426"/>
    <w:rsid w:val="009E646F"/>
    <w:rsid w:val="009E699D"/>
    <w:rsid w:val="009F13D2"/>
    <w:rsid w:val="009F40A6"/>
    <w:rsid w:val="009F48B5"/>
    <w:rsid w:val="009F4F86"/>
    <w:rsid w:val="009F5022"/>
    <w:rsid w:val="009F50F5"/>
    <w:rsid w:val="009F5BDA"/>
    <w:rsid w:val="009F697E"/>
    <w:rsid w:val="00A008CC"/>
    <w:rsid w:val="00A01EA2"/>
    <w:rsid w:val="00A02F15"/>
    <w:rsid w:val="00A031EF"/>
    <w:rsid w:val="00A04141"/>
    <w:rsid w:val="00A04613"/>
    <w:rsid w:val="00A04EB7"/>
    <w:rsid w:val="00A073CA"/>
    <w:rsid w:val="00A07A21"/>
    <w:rsid w:val="00A07CB8"/>
    <w:rsid w:val="00A1056D"/>
    <w:rsid w:val="00A113CC"/>
    <w:rsid w:val="00A125A0"/>
    <w:rsid w:val="00A13468"/>
    <w:rsid w:val="00A14239"/>
    <w:rsid w:val="00A151AF"/>
    <w:rsid w:val="00A1543A"/>
    <w:rsid w:val="00A16502"/>
    <w:rsid w:val="00A174A4"/>
    <w:rsid w:val="00A17DC4"/>
    <w:rsid w:val="00A21623"/>
    <w:rsid w:val="00A2183F"/>
    <w:rsid w:val="00A21BEA"/>
    <w:rsid w:val="00A21CF2"/>
    <w:rsid w:val="00A21F44"/>
    <w:rsid w:val="00A228EC"/>
    <w:rsid w:val="00A23DC4"/>
    <w:rsid w:val="00A2421A"/>
    <w:rsid w:val="00A24871"/>
    <w:rsid w:val="00A249B8"/>
    <w:rsid w:val="00A24E46"/>
    <w:rsid w:val="00A2596D"/>
    <w:rsid w:val="00A26563"/>
    <w:rsid w:val="00A276ED"/>
    <w:rsid w:val="00A2788C"/>
    <w:rsid w:val="00A27EB4"/>
    <w:rsid w:val="00A27F43"/>
    <w:rsid w:val="00A301DF"/>
    <w:rsid w:val="00A312C5"/>
    <w:rsid w:val="00A3274C"/>
    <w:rsid w:val="00A32CB9"/>
    <w:rsid w:val="00A332FB"/>
    <w:rsid w:val="00A33609"/>
    <w:rsid w:val="00A33A5C"/>
    <w:rsid w:val="00A33F31"/>
    <w:rsid w:val="00A3407C"/>
    <w:rsid w:val="00A34649"/>
    <w:rsid w:val="00A34EED"/>
    <w:rsid w:val="00A34F10"/>
    <w:rsid w:val="00A3508B"/>
    <w:rsid w:val="00A352CA"/>
    <w:rsid w:val="00A36551"/>
    <w:rsid w:val="00A36A5E"/>
    <w:rsid w:val="00A370A1"/>
    <w:rsid w:val="00A376F2"/>
    <w:rsid w:val="00A417C8"/>
    <w:rsid w:val="00A41E03"/>
    <w:rsid w:val="00A42770"/>
    <w:rsid w:val="00A433AE"/>
    <w:rsid w:val="00A43AC2"/>
    <w:rsid w:val="00A44136"/>
    <w:rsid w:val="00A4613A"/>
    <w:rsid w:val="00A4644A"/>
    <w:rsid w:val="00A46DFE"/>
    <w:rsid w:val="00A47FF0"/>
    <w:rsid w:val="00A50181"/>
    <w:rsid w:val="00A50FAF"/>
    <w:rsid w:val="00A511DC"/>
    <w:rsid w:val="00A51B88"/>
    <w:rsid w:val="00A51D3F"/>
    <w:rsid w:val="00A51F73"/>
    <w:rsid w:val="00A54523"/>
    <w:rsid w:val="00A54950"/>
    <w:rsid w:val="00A55616"/>
    <w:rsid w:val="00A5570D"/>
    <w:rsid w:val="00A559AE"/>
    <w:rsid w:val="00A57021"/>
    <w:rsid w:val="00A616A7"/>
    <w:rsid w:val="00A620FC"/>
    <w:rsid w:val="00A622FD"/>
    <w:rsid w:val="00A62AC5"/>
    <w:rsid w:val="00A63362"/>
    <w:rsid w:val="00A63E25"/>
    <w:rsid w:val="00A657E7"/>
    <w:rsid w:val="00A66556"/>
    <w:rsid w:val="00A66E4F"/>
    <w:rsid w:val="00A673AF"/>
    <w:rsid w:val="00A6790E"/>
    <w:rsid w:val="00A70605"/>
    <w:rsid w:val="00A717D0"/>
    <w:rsid w:val="00A719DB"/>
    <w:rsid w:val="00A730D5"/>
    <w:rsid w:val="00A73191"/>
    <w:rsid w:val="00A731B9"/>
    <w:rsid w:val="00A73976"/>
    <w:rsid w:val="00A741C0"/>
    <w:rsid w:val="00A741E5"/>
    <w:rsid w:val="00A75536"/>
    <w:rsid w:val="00A762E3"/>
    <w:rsid w:val="00A76B97"/>
    <w:rsid w:val="00A77AB3"/>
    <w:rsid w:val="00A81211"/>
    <w:rsid w:val="00A824B6"/>
    <w:rsid w:val="00A82EE8"/>
    <w:rsid w:val="00A8567B"/>
    <w:rsid w:val="00A8753D"/>
    <w:rsid w:val="00A87E97"/>
    <w:rsid w:val="00A87FC8"/>
    <w:rsid w:val="00A90574"/>
    <w:rsid w:val="00A9061C"/>
    <w:rsid w:val="00A907C3"/>
    <w:rsid w:val="00A92434"/>
    <w:rsid w:val="00A92966"/>
    <w:rsid w:val="00A93FC0"/>
    <w:rsid w:val="00A93FC9"/>
    <w:rsid w:val="00A941DD"/>
    <w:rsid w:val="00A94B59"/>
    <w:rsid w:val="00A9507D"/>
    <w:rsid w:val="00A95C51"/>
    <w:rsid w:val="00A95F7D"/>
    <w:rsid w:val="00A9613A"/>
    <w:rsid w:val="00A9652D"/>
    <w:rsid w:val="00A967A2"/>
    <w:rsid w:val="00A97FF0"/>
    <w:rsid w:val="00AA0B43"/>
    <w:rsid w:val="00AA0FE8"/>
    <w:rsid w:val="00AA1935"/>
    <w:rsid w:val="00AA250D"/>
    <w:rsid w:val="00AA261D"/>
    <w:rsid w:val="00AA4207"/>
    <w:rsid w:val="00AA447C"/>
    <w:rsid w:val="00AA448C"/>
    <w:rsid w:val="00AA4989"/>
    <w:rsid w:val="00AA55C7"/>
    <w:rsid w:val="00AA5AEF"/>
    <w:rsid w:val="00AA777E"/>
    <w:rsid w:val="00AB0464"/>
    <w:rsid w:val="00AB1B41"/>
    <w:rsid w:val="00AB2726"/>
    <w:rsid w:val="00AB2734"/>
    <w:rsid w:val="00AB29E0"/>
    <w:rsid w:val="00AB3C14"/>
    <w:rsid w:val="00AB44CF"/>
    <w:rsid w:val="00AB4805"/>
    <w:rsid w:val="00AB4950"/>
    <w:rsid w:val="00AB557C"/>
    <w:rsid w:val="00AB613E"/>
    <w:rsid w:val="00AB672E"/>
    <w:rsid w:val="00AB6B9A"/>
    <w:rsid w:val="00AB6F9E"/>
    <w:rsid w:val="00AB77DF"/>
    <w:rsid w:val="00AC199E"/>
    <w:rsid w:val="00AC2858"/>
    <w:rsid w:val="00AC2F0A"/>
    <w:rsid w:val="00AC32E5"/>
    <w:rsid w:val="00AC3E3E"/>
    <w:rsid w:val="00AC424E"/>
    <w:rsid w:val="00AC522F"/>
    <w:rsid w:val="00AC6CCA"/>
    <w:rsid w:val="00AC7CDE"/>
    <w:rsid w:val="00AC7F26"/>
    <w:rsid w:val="00AD08EB"/>
    <w:rsid w:val="00AD1158"/>
    <w:rsid w:val="00AD22BA"/>
    <w:rsid w:val="00AD26AA"/>
    <w:rsid w:val="00AD28B0"/>
    <w:rsid w:val="00AD34EA"/>
    <w:rsid w:val="00AD393A"/>
    <w:rsid w:val="00AD3CB0"/>
    <w:rsid w:val="00AD3D10"/>
    <w:rsid w:val="00AD419D"/>
    <w:rsid w:val="00AD45B4"/>
    <w:rsid w:val="00AD534D"/>
    <w:rsid w:val="00AD5B91"/>
    <w:rsid w:val="00AD715D"/>
    <w:rsid w:val="00AD7D6B"/>
    <w:rsid w:val="00AE0AFD"/>
    <w:rsid w:val="00AE0C6A"/>
    <w:rsid w:val="00AE27B6"/>
    <w:rsid w:val="00AE2E3C"/>
    <w:rsid w:val="00AE32FC"/>
    <w:rsid w:val="00AE3BD6"/>
    <w:rsid w:val="00AE3EA5"/>
    <w:rsid w:val="00AE4195"/>
    <w:rsid w:val="00AE4845"/>
    <w:rsid w:val="00AE4A39"/>
    <w:rsid w:val="00AE5FDC"/>
    <w:rsid w:val="00AE7355"/>
    <w:rsid w:val="00AF0097"/>
    <w:rsid w:val="00AF038D"/>
    <w:rsid w:val="00AF0D9B"/>
    <w:rsid w:val="00AF1677"/>
    <w:rsid w:val="00AF2B08"/>
    <w:rsid w:val="00AF3804"/>
    <w:rsid w:val="00AF4430"/>
    <w:rsid w:val="00AF5224"/>
    <w:rsid w:val="00AF5721"/>
    <w:rsid w:val="00AF588B"/>
    <w:rsid w:val="00B00396"/>
    <w:rsid w:val="00B02275"/>
    <w:rsid w:val="00B02339"/>
    <w:rsid w:val="00B038C9"/>
    <w:rsid w:val="00B03B38"/>
    <w:rsid w:val="00B04A2C"/>
    <w:rsid w:val="00B04CEE"/>
    <w:rsid w:val="00B04D66"/>
    <w:rsid w:val="00B04DFC"/>
    <w:rsid w:val="00B04E26"/>
    <w:rsid w:val="00B0528D"/>
    <w:rsid w:val="00B05875"/>
    <w:rsid w:val="00B05AF1"/>
    <w:rsid w:val="00B0605C"/>
    <w:rsid w:val="00B06C9C"/>
    <w:rsid w:val="00B07401"/>
    <w:rsid w:val="00B07B4D"/>
    <w:rsid w:val="00B10ABC"/>
    <w:rsid w:val="00B111D8"/>
    <w:rsid w:val="00B116F7"/>
    <w:rsid w:val="00B116F8"/>
    <w:rsid w:val="00B118F2"/>
    <w:rsid w:val="00B11950"/>
    <w:rsid w:val="00B11AD4"/>
    <w:rsid w:val="00B135A0"/>
    <w:rsid w:val="00B13A84"/>
    <w:rsid w:val="00B14371"/>
    <w:rsid w:val="00B146E6"/>
    <w:rsid w:val="00B14FC1"/>
    <w:rsid w:val="00B15A42"/>
    <w:rsid w:val="00B1628A"/>
    <w:rsid w:val="00B163B5"/>
    <w:rsid w:val="00B16404"/>
    <w:rsid w:val="00B166B1"/>
    <w:rsid w:val="00B16776"/>
    <w:rsid w:val="00B167F4"/>
    <w:rsid w:val="00B1695D"/>
    <w:rsid w:val="00B16C63"/>
    <w:rsid w:val="00B17457"/>
    <w:rsid w:val="00B17488"/>
    <w:rsid w:val="00B17E1C"/>
    <w:rsid w:val="00B17FAA"/>
    <w:rsid w:val="00B21089"/>
    <w:rsid w:val="00B2143F"/>
    <w:rsid w:val="00B21582"/>
    <w:rsid w:val="00B220CD"/>
    <w:rsid w:val="00B22BAC"/>
    <w:rsid w:val="00B2319C"/>
    <w:rsid w:val="00B236D2"/>
    <w:rsid w:val="00B238D3"/>
    <w:rsid w:val="00B23F69"/>
    <w:rsid w:val="00B252B8"/>
    <w:rsid w:val="00B26ABE"/>
    <w:rsid w:val="00B275A9"/>
    <w:rsid w:val="00B275F3"/>
    <w:rsid w:val="00B27629"/>
    <w:rsid w:val="00B3059E"/>
    <w:rsid w:val="00B31607"/>
    <w:rsid w:val="00B3191F"/>
    <w:rsid w:val="00B34560"/>
    <w:rsid w:val="00B35762"/>
    <w:rsid w:val="00B35E35"/>
    <w:rsid w:val="00B37215"/>
    <w:rsid w:val="00B37216"/>
    <w:rsid w:val="00B3779E"/>
    <w:rsid w:val="00B37B04"/>
    <w:rsid w:val="00B37B86"/>
    <w:rsid w:val="00B37C99"/>
    <w:rsid w:val="00B4155E"/>
    <w:rsid w:val="00B4166B"/>
    <w:rsid w:val="00B41A92"/>
    <w:rsid w:val="00B420C9"/>
    <w:rsid w:val="00B4244D"/>
    <w:rsid w:val="00B44C97"/>
    <w:rsid w:val="00B4534B"/>
    <w:rsid w:val="00B4555A"/>
    <w:rsid w:val="00B45657"/>
    <w:rsid w:val="00B45A25"/>
    <w:rsid w:val="00B467E9"/>
    <w:rsid w:val="00B46FF5"/>
    <w:rsid w:val="00B472F2"/>
    <w:rsid w:val="00B47C0D"/>
    <w:rsid w:val="00B50537"/>
    <w:rsid w:val="00B50ED7"/>
    <w:rsid w:val="00B513E8"/>
    <w:rsid w:val="00B51E04"/>
    <w:rsid w:val="00B52E5D"/>
    <w:rsid w:val="00B53A72"/>
    <w:rsid w:val="00B53AC7"/>
    <w:rsid w:val="00B53E1C"/>
    <w:rsid w:val="00B53E93"/>
    <w:rsid w:val="00B54162"/>
    <w:rsid w:val="00B54DC4"/>
    <w:rsid w:val="00B54E8C"/>
    <w:rsid w:val="00B5631B"/>
    <w:rsid w:val="00B568F1"/>
    <w:rsid w:val="00B56BEE"/>
    <w:rsid w:val="00B5744B"/>
    <w:rsid w:val="00B6058D"/>
    <w:rsid w:val="00B609ED"/>
    <w:rsid w:val="00B610B3"/>
    <w:rsid w:val="00B6124E"/>
    <w:rsid w:val="00B63023"/>
    <w:rsid w:val="00B63E7C"/>
    <w:rsid w:val="00B6439B"/>
    <w:rsid w:val="00B6479E"/>
    <w:rsid w:val="00B6657B"/>
    <w:rsid w:val="00B6696A"/>
    <w:rsid w:val="00B66D33"/>
    <w:rsid w:val="00B6705E"/>
    <w:rsid w:val="00B67399"/>
    <w:rsid w:val="00B70DF9"/>
    <w:rsid w:val="00B713EA"/>
    <w:rsid w:val="00B721DD"/>
    <w:rsid w:val="00B7228B"/>
    <w:rsid w:val="00B734B3"/>
    <w:rsid w:val="00B7568E"/>
    <w:rsid w:val="00B75D02"/>
    <w:rsid w:val="00B75E7E"/>
    <w:rsid w:val="00B75FA2"/>
    <w:rsid w:val="00B75FCB"/>
    <w:rsid w:val="00B77A6B"/>
    <w:rsid w:val="00B77C54"/>
    <w:rsid w:val="00B80D0C"/>
    <w:rsid w:val="00B80ECC"/>
    <w:rsid w:val="00B82A7F"/>
    <w:rsid w:val="00B82C5A"/>
    <w:rsid w:val="00B8395B"/>
    <w:rsid w:val="00B8435A"/>
    <w:rsid w:val="00B84BA5"/>
    <w:rsid w:val="00B8502E"/>
    <w:rsid w:val="00B85DDD"/>
    <w:rsid w:val="00B85F05"/>
    <w:rsid w:val="00B87BB5"/>
    <w:rsid w:val="00B92825"/>
    <w:rsid w:val="00B92F52"/>
    <w:rsid w:val="00B930BE"/>
    <w:rsid w:val="00B939AF"/>
    <w:rsid w:val="00B93B80"/>
    <w:rsid w:val="00B94A30"/>
    <w:rsid w:val="00B94C50"/>
    <w:rsid w:val="00B95210"/>
    <w:rsid w:val="00B95C92"/>
    <w:rsid w:val="00B970CA"/>
    <w:rsid w:val="00BA04DF"/>
    <w:rsid w:val="00BA146A"/>
    <w:rsid w:val="00BA15EB"/>
    <w:rsid w:val="00BA1821"/>
    <w:rsid w:val="00BA1F11"/>
    <w:rsid w:val="00BA213F"/>
    <w:rsid w:val="00BA4B65"/>
    <w:rsid w:val="00BA507E"/>
    <w:rsid w:val="00BA574B"/>
    <w:rsid w:val="00BA70D1"/>
    <w:rsid w:val="00BA7A29"/>
    <w:rsid w:val="00BB058E"/>
    <w:rsid w:val="00BB08B8"/>
    <w:rsid w:val="00BB27AD"/>
    <w:rsid w:val="00BB2D4F"/>
    <w:rsid w:val="00BB3D33"/>
    <w:rsid w:val="00BB3DC7"/>
    <w:rsid w:val="00BB42AC"/>
    <w:rsid w:val="00BB4C4A"/>
    <w:rsid w:val="00BB4CF8"/>
    <w:rsid w:val="00BB4FC9"/>
    <w:rsid w:val="00BB59E9"/>
    <w:rsid w:val="00BB5A3F"/>
    <w:rsid w:val="00BB613D"/>
    <w:rsid w:val="00BB69FD"/>
    <w:rsid w:val="00BB75DB"/>
    <w:rsid w:val="00BC042D"/>
    <w:rsid w:val="00BC12FC"/>
    <w:rsid w:val="00BC225A"/>
    <w:rsid w:val="00BC25F5"/>
    <w:rsid w:val="00BC28D7"/>
    <w:rsid w:val="00BC2ABF"/>
    <w:rsid w:val="00BC395B"/>
    <w:rsid w:val="00BC3BB8"/>
    <w:rsid w:val="00BC425A"/>
    <w:rsid w:val="00BC4538"/>
    <w:rsid w:val="00BC49C5"/>
    <w:rsid w:val="00BC4EC1"/>
    <w:rsid w:val="00BC4ED4"/>
    <w:rsid w:val="00BC5F3B"/>
    <w:rsid w:val="00BC615F"/>
    <w:rsid w:val="00BC66C3"/>
    <w:rsid w:val="00BC6AA5"/>
    <w:rsid w:val="00BD15BC"/>
    <w:rsid w:val="00BD2363"/>
    <w:rsid w:val="00BD2D5F"/>
    <w:rsid w:val="00BD2F59"/>
    <w:rsid w:val="00BD4FC1"/>
    <w:rsid w:val="00BD7486"/>
    <w:rsid w:val="00BD7621"/>
    <w:rsid w:val="00BE0AF0"/>
    <w:rsid w:val="00BE0EFC"/>
    <w:rsid w:val="00BE13BA"/>
    <w:rsid w:val="00BE2560"/>
    <w:rsid w:val="00BE33F6"/>
    <w:rsid w:val="00BE41CA"/>
    <w:rsid w:val="00BE4688"/>
    <w:rsid w:val="00BE59AD"/>
    <w:rsid w:val="00BE5A38"/>
    <w:rsid w:val="00BE6B0A"/>
    <w:rsid w:val="00BE7A75"/>
    <w:rsid w:val="00BE7DB8"/>
    <w:rsid w:val="00BF0059"/>
    <w:rsid w:val="00BF00C9"/>
    <w:rsid w:val="00BF05EE"/>
    <w:rsid w:val="00BF06F7"/>
    <w:rsid w:val="00BF1DC7"/>
    <w:rsid w:val="00BF261F"/>
    <w:rsid w:val="00BF2BE3"/>
    <w:rsid w:val="00BF4121"/>
    <w:rsid w:val="00BF4994"/>
    <w:rsid w:val="00BF6487"/>
    <w:rsid w:val="00BF6FD8"/>
    <w:rsid w:val="00BF7065"/>
    <w:rsid w:val="00BF70E2"/>
    <w:rsid w:val="00BF7839"/>
    <w:rsid w:val="00BF7EC4"/>
    <w:rsid w:val="00BF7F09"/>
    <w:rsid w:val="00C00027"/>
    <w:rsid w:val="00C02A89"/>
    <w:rsid w:val="00C0354D"/>
    <w:rsid w:val="00C03B31"/>
    <w:rsid w:val="00C04313"/>
    <w:rsid w:val="00C05733"/>
    <w:rsid w:val="00C06594"/>
    <w:rsid w:val="00C066F9"/>
    <w:rsid w:val="00C06DA5"/>
    <w:rsid w:val="00C073BF"/>
    <w:rsid w:val="00C1092D"/>
    <w:rsid w:val="00C10DE9"/>
    <w:rsid w:val="00C1133E"/>
    <w:rsid w:val="00C1189A"/>
    <w:rsid w:val="00C12486"/>
    <w:rsid w:val="00C128FC"/>
    <w:rsid w:val="00C12A2F"/>
    <w:rsid w:val="00C1333F"/>
    <w:rsid w:val="00C13DE2"/>
    <w:rsid w:val="00C148BB"/>
    <w:rsid w:val="00C15449"/>
    <w:rsid w:val="00C161FD"/>
    <w:rsid w:val="00C166AB"/>
    <w:rsid w:val="00C1753C"/>
    <w:rsid w:val="00C17B85"/>
    <w:rsid w:val="00C20402"/>
    <w:rsid w:val="00C204FC"/>
    <w:rsid w:val="00C20581"/>
    <w:rsid w:val="00C21033"/>
    <w:rsid w:val="00C2160A"/>
    <w:rsid w:val="00C2222C"/>
    <w:rsid w:val="00C25691"/>
    <w:rsid w:val="00C264CB"/>
    <w:rsid w:val="00C26AD3"/>
    <w:rsid w:val="00C304EF"/>
    <w:rsid w:val="00C3056D"/>
    <w:rsid w:val="00C30B78"/>
    <w:rsid w:val="00C30DD3"/>
    <w:rsid w:val="00C31E34"/>
    <w:rsid w:val="00C32252"/>
    <w:rsid w:val="00C325B4"/>
    <w:rsid w:val="00C325F6"/>
    <w:rsid w:val="00C32FF1"/>
    <w:rsid w:val="00C339E0"/>
    <w:rsid w:val="00C33A7E"/>
    <w:rsid w:val="00C33DCE"/>
    <w:rsid w:val="00C3419B"/>
    <w:rsid w:val="00C3427F"/>
    <w:rsid w:val="00C34286"/>
    <w:rsid w:val="00C3459A"/>
    <w:rsid w:val="00C346DF"/>
    <w:rsid w:val="00C348EE"/>
    <w:rsid w:val="00C3495B"/>
    <w:rsid w:val="00C34B88"/>
    <w:rsid w:val="00C34B9A"/>
    <w:rsid w:val="00C3589A"/>
    <w:rsid w:val="00C410B0"/>
    <w:rsid w:val="00C4168D"/>
    <w:rsid w:val="00C4183D"/>
    <w:rsid w:val="00C42410"/>
    <w:rsid w:val="00C42819"/>
    <w:rsid w:val="00C42FA6"/>
    <w:rsid w:val="00C435D3"/>
    <w:rsid w:val="00C43624"/>
    <w:rsid w:val="00C43933"/>
    <w:rsid w:val="00C4441A"/>
    <w:rsid w:val="00C45538"/>
    <w:rsid w:val="00C45C96"/>
    <w:rsid w:val="00C46650"/>
    <w:rsid w:val="00C46B00"/>
    <w:rsid w:val="00C47731"/>
    <w:rsid w:val="00C47B23"/>
    <w:rsid w:val="00C47D44"/>
    <w:rsid w:val="00C511B2"/>
    <w:rsid w:val="00C5132E"/>
    <w:rsid w:val="00C51AEC"/>
    <w:rsid w:val="00C529B5"/>
    <w:rsid w:val="00C54A5A"/>
    <w:rsid w:val="00C54F7A"/>
    <w:rsid w:val="00C5568C"/>
    <w:rsid w:val="00C5573E"/>
    <w:rsid w:val="00C560C7"/>
    <w:rsid w:val="00C565CF"/>
    <w:rsid w:val="00C57459"/>
    <w:rsid w:val="00C57743"/>
    <w:rsid w:val="00C57DA7"/>
    <w:rsid w:val="00C60D74"/>
    <w:rsid w:val="00C625E1"/>
    <w:rsid w:val="00C62858"/>
    <w:rsid w:val="00C62879"/>
    <w:rsid w:val="00C629F7"/>
    <w:rsid w:val="00C6432E"/>
    <w:rsid w:val="00C64407"/>
    <w:rsid w:val="00C64C07"/>
    <w:rsid w:val="00C64C13"/>
    <w:rsid w:val="00C65444"/>
    <w:rsid w:val="00C659E4"/>
    <w:rsid w:val="00C65A00"/>
    <w:rsid w:val="00C66643"/>
    <w:rsid w:val="00C66AA5"/>
    <w:rsid w:val="00C66D08"/>
    <w:rsid w:val="00C66E0F"/>
    <w:rsid w:val="00C671CF"/>
    <w:rsid w:val="00C679BB"/>
    <w:rsid w:val="00C70B55"/>
    <w:rsid w:val="00C71410"/>
    <w:rsid w:val="00C7233E"/>
    <w:rsid w:val="00C72B1A"/>
    <w:rsid w:val="00C72C64"/>
    <w:rsid w:val="00C73727"/>
    <w:rsid w:val="00C74615"/>
    <w:rsid w:val="00C748A2"/>
    <w:rsid w:val="00C74BE4"/>
    <w:rsid w:val="00C76653"/>
    <w:rsid w:val="00C76683"/>
    <w:rsid w:val="00C76FB0"/>
    <w:rsid w:val="00C77423"/>
    <w:rsid w:val="00C7763E"/>
    <w:rsid w:val="00C808AB"/>
    <w:rsid w:val="00C80F7F"/>
    <w:rsid w:val="00C815FF"/>
    <w:rsid w:val="00C817EA"/>
    <w:rsid w:val="00C81D94"/>
    <w:rsid w:val="00C82523"/>
    <w:rsid w:val="00C82704"/>
    <w:rsid w:val="00C839C8"/>
    <w:rsid w:val="00C853EB"/>
    <w:rsid w:val="00C866C7"/>
    <w:rsid w:val="00C86D82"/>
    <w:rsid w:val="00C86D8A"/>
    <w:rsid w:val="00C86E04"/>
    <w:rsid w:val="00C87308"/>
    <w:rsid w:val="00C87373"/>
    <w:rsid w:val="00C87B99"/>
    <w:rsid w:val="00C90651"/>
    <w:rsid w:val="00C91587"/>
    <w:rsid w:val="00C91ACF"/>
    <w:rsid w:val="00C95265"/>
    <w:rsid w:val="00C953F0"/>
    <w:rsid w:val="00C9636C"/>
    <w:rsid w:val="00C9647F"/>
    <w:rsid w:val="00C96CD1"/>
    <w:rsid w:val="00C96D35"/>
    <w:rsid w:val="00C97A2D"/>
    <w:rsid w:val="00C97DFE"/>
    <w:rsid w:val="00CA04D7"/>
    <w:rsid w:val="00CA1475"/>
    <w:rsid w:val="00CA1755"/>
    <w:rsid w:val="00CA1BE9"/>
    <w:rsid w:val="00CA29BA"/>
    <w:rsid w:val="00CA2C7E"/>
    <w:rsid w:val="00CA3505"/>
    <w:rsid w:val="00CA4292"/>
    <w:rsid w:val="00CA58DE"/>
    <w:rsid w:val="00CA5BB6"/>
    <w:rsid w:val="00CA6008"/>
    <w:rsid w:val="00CA6810"/>
    <w:rsid w:val="00CA69AB"/>
    <w:rsid w:val="00CA6B05"/>
    <w:rsid w:val="00CB0525"/>
    <w:rsid w:val="00CB0D92"/>
    <w:rsid w:val="00CB1A17"/>
    <w:rsid w:val="00CB1B63"/>
    <w:rsid w:val="00CB2598"/>
    <w:rsid w:val="00CB3243"/>
    <w:rsid w:val="00CB360C"/>
    <w:rsid w:val="00CB4D6E"/>
    <w:rsid w:val="00CB582F"/>
    <w:rsid w:val="00CB625F"/>
    <w:rsid w:val="00CB6E43"/>
    <w:rsid w:val="00CB6EE0"/>
    <w:rsid w:val="00CB7422"/>
    <w:rsid w:val="00CC028A"/>
    <w:rsid w:val="00CC07DC"/>
    <w:rsid w:val="00CC18AE"/>
    <w:rsid w:val="00CC2239"/>
    <w:rsid w:val="00CC2872"/>
    <w:rsid w:val="00CC2D9D"/>
    <w:rsid w:val="00CC38F8"/>
    <w:rsid w:val="00CC4645"/>
    <w:rsid w:val="00CC4B34"/>
    <w:rsid w:val="00CC63E6"/>
    <w:rsid w:val="00CC643E"/>
    <w:rsid w:val="00CC6C7A"/>
    <w:rsid w:val="00CD0097"/>
    <w:rsid w:val="00CD0653"/>
    <w:rsid w:val="00CD104D"/>
    <w:rsid w:val="00CD1874"/>
    <w:rsid w:val="00CD31D8"/>
    <w:rsid w:val="00CD33E9"/>
    <w:rsid w:val="00CD36A4"/>
    <w:rsid w:val="00CD3A06"/>
    <w:rsid w:val="00CD3EB4"/>
    <w:rsid w:val="00CD42B9"/>
    <w:rsid w:val="00CD48C4"/>
    <w:rsid w:val="00CD5607"/>
    <w:rsid w:val="00CD71F2"/>
    <w:rsid w:val="00CD73C0"/>
    <w:rsid w:val="00CE0563"/>
    <w:rsid w:val="00CE087D"/>
    <w:rsid w:val="00CE1875"/>
    <w:rsid w:val="00CE238E"/>
    <w:rsid w:val="00CE2743"/>
    <w:rsid w:val="00CE282B"/>
    <w:rsid w:val="00CE2BC5"/>
    <w:rsid w:val="00CE3823"/>
    <w:rsid w:val="00CE424D"/>
    <w:rsid w:val="00CE44A2"/>
    <w:rsid w:val="00CE4A09"/>
    <w:rsid w:val="00CE51B2"/>
    <w:rsid w:val="00CE5573"/>
    <w:rsid w:val="00CE590D"/>
    <w:rsid w:val="00CE59A8"/>
    <w:rsid w:val="00CE610F"/>
    <w:rsid w:val="00CE699C"/>
    <w:rsid w:val="00CE6FA4"/>
    <w:rsid w:val="00CE77BA"/>
    <w:rsid w:val="00CF07FF"/>
    <w:rsid w:val="00CF09F0"/>
    <w:rsid w:val="00CF259B"/>
    <w:rsid w:val="00CF2A6A"/>
    <w:rsid w:val="00CF30EB"/>
    <w:rsid w:val="00CF5D1B"/>
    <w:rsid w:val="00CF7504"/>
    <w:rsid w:val="00CF782D"/>
    <w:rsid w:val="00D00117"/>
    <w:rsid w:val="00D00FBB"/>
    <w:rsid w:val="00D01DE6"/>
    <w:rsid w:val="00D01FA2"/>
    <w:rsid w:val="00D027B2"/>
    <w:rsid w:val="00D045C6"/>
    <w:rsid w:val="00D05799"/>
    <w:rsid w:val="00D057E6"/>
    <w:rsid w:val="00D05930"/>
    <w:rsid w:val="00D05C3F"/>
    <w:rsid w:val="00D06424"/>
    <w:rsid w:val="00D066D5"/>
    <w:rsid w:val="00D06AB8"/>
    <w:rsid w:val="00D06E60"/>
    <w:rsid w:val="00D06F79"/>
    <w:rsid w:val="00D07330"/>
    <w:rsid w:val="00D07699"/>
    <w:rsid w:val="00D07984"/>
    <w:rsid w:val="00D10729"/>
    <w:rsid w:val="00D10B85"/>
    <w:rsid w:val="00D117EF"/>
    <w:rsid w:val="00D119FB"/>
    <w:rsid w:val="00D11CA3"/>
    <w:rsid w:val="00D12447"/>
    <w:rsid w:val="00D129E4"/>
    <w:rsid w:val="00D12E51"/>
    <w:rsid w:val="00D12FB8"/>
    <w:rsid w:val="00D143F9"/>
    <w:rsid w:val="00D14464"/>
    <w:rsid w:val="00D14491"/>
    <w:rsid w:val="00D1460E"/>
    <w:rsid w:val="00D14A1B"/>
    <w:rsid w:val="00D15862"/>
    <w:rsid w:val="00D15FCD"/>
    <w:rsid w:val="00D177D8"/>
    <w:rsid w:val="00D17D4A"/>
    <w:rsid w:val="00D20942"/>
    <w:rsid w:val="00D21247"/>
    <w:rsid w:val="00D21912"/>
    <w:rsid w:val="00D21DAA"/>
    <w:rsid w:val="00D2292F"/>
    <w:rsid w:val="00D23400"/>
    <w:rsid w:val="00D236D8"/>
    <w:rsid w:val="00D23E43"/>
    <w:rsid w:val="00D26CB2"/>
    <w:rsid w:val="00D26E60"/>
    <w:rsid w:val="00D27053"/>
    <w:rsid w:val="00D27B17"/>
    <w:rsid w:val="00D27DE4"/>
    <w:rsid w:val="00D30AC2"/>
    <w:rsid w:val="00D30E21"/>
    <w:rsid w:val="00D312DC"/>
    <w:rsid w:val="00D32489"/>
    <w:rsid w:val="00D32C6D"/>
    <w:rsid w:val="00D340E4"/>
    <w:rsid w:val="00D34A9A"/>
    <w:rsid w:val="00D35057"/>
    <w:rsid w:val="00D35063"/>
    <w:rsid w:val="00D35267"/>
    <w:rsid w:val="00D352A9"/>
    <w:rsid w:val="00D357BE"/>
    <w:rsid w:val="00D35F35"/>
    <w:rsid w:val="00D36059"/>
    <w:rsid w:val="00D363C2"/>
    <w:rsid w:val="00D36952"/>
    <w:rsid w:val="00D36FA6"/>
    <w:rsid w:val="00D407D1"/>
    <w:rsid w:val="00D40FE7"/>
    <w:rsid w:val="00D43145"/>
    <w:rsid w:val="00D431A1"/>
    <w:rsid w:val="00D4324A"/>
    <w:rsid w:val="00D44841"/>
    <w:rsid w:val="00D453E1"/>
    <w:rsid w:val="00D456C9"/>
    <w:rsid w:val="00D46398"/>
    <w:rsid w:val="00D46808"/>
    <w:rsid w:val="00D469F0"/>
    <w:rsid w:val="00D47F5E"/>
    <w:rsid w:val="00D505E5"/>
    <w:rsid w:val="00D505F5"/>
    <w:rsid w:val="00D508E5"/>
    <w:rsid w:val="00D51058"/>
    <w:rsid w:val="00D518A0"/>
    <w:rsid w:val="00D52452"/>
    <w:rsid w:val="00D53836"/>
    <w:rsid w:val="00D54726"/>
    <w:rsid w:val="00D5487B"/>
    <w:rsid w:val="00D54FFA"/>
    <w:rsid w:val="00D5553A"/>
    <w:rsid w:val="00D5601B"/>
    <w:rsid w:val="00D56118"/>
    <w:rsid w:val="00D562E2"/>
    <w:rsid w:val="00D56E6B"/>
    <w:rsid w:val="00D57022"/>
    <w:rsid w:val="00D57D48"/>
    <w:rsid w:val="00D57EF2"/>
    <w:rsid w:val="00D57FBE"/>
    <w:rsid w:val="00D6006B"/>
    <w:rsid w:val="00D60117"/>
    <w:rsid w:val="00D60D76"/>
    <w:rsid w:val="00D6142C"/>
    <w:rsid w:val="00D61577"/>
    <w:rsid w:val="00D61602"/>
    <w:rsid w:val="00D61617"/>
    <w:rsid w:val="00D63044"/>
    <w:rsid w:val="00D632A1"/>
    <w:rsid w:val="00D633C4"/>
    <w:rsid w:val="00D64C02"/>
    <w:rsid w:val="00D65F3C"/>
    <w:rsid w:val="00D65F93"/>
    <w:rsid w:val="00D66259"/>
    <w:rsid w:val="00D66B93"/>
    <w:rsid w:val="00D67942"/>
    <w:rsid w:val="00D67FFD"/>
    <w:rsid w:val="00D71C6F"/>
    <w:rsid w:val="00D727E7"/>
    <w:rsid w:val="00D72A68"/>
    <w:rsid w:val="00D7347A"/>
    <w:rsid w:val="00D735FD"/>
    <w:rsid w:val="00D7390B"/>
    <w:rsid w:val="00D73E6B"/>
    <w:rsid w:val="00D744B8"/>
    <w:rsid w:val="00D7483B"/>
    <w:rsid w:val="00D75AEC"/>
    <w:rsid w:val="00D76E95"/>
    <w:rsid w:val="00D819A4"/>
    <w:rsid w:val="00D830DC"/>
    <w:rsid w:val="00D838E3"/>
    <w:rsid w:val="00D83DC2"/>
    <w:rsid w:val="00D84522"/>
    <w:rsid w:val="00D84987"/>
    <w:rsid w:val="00D84E14"/>
    <w:rsid w:val="00D860C4"/>
    <w:rsid w:val="00D86CF8"/>
    <w:rsid w:val="00D873F1"/>
    <w:rsid w:val="00D87AA8"/>
    <w:rsid w:val="00D913AB"/>
    <w:rsid w:val="00D92461"/>
    <w:rsid w:val="00D92A42"/>
    <w:rsid w:val="00D92DA1"/>
    <w:rsid w:val="00D93309"/>
    <w:rsid w:val="00D937DB"/>
    <w:rsid w:val="00D939AD"/>
    <w:rsid w:val="00D94FFC"/>
    <w:rsid w:val="00D95469"/>
    <w:rsid w:val="00D95500"/>
    <w:rsid w:val="00D95859"/>
    <w:rsid w:val="00D95C8A"/>
    <w:rsid w:val="00D9644D"/>
    <w:rsid w:val="00D967A3"/>
    <w:rsid w:val="00DA06CD"/>
    <w:rsid w:val="00DA08EA"/>
    <w:rsid w:val="00DA0F27"/>
    <w:rsid w:val="00DA102E"/>
    <w:rsid w:val="00DA1370"/>
    <w:rsid w:val="00DA1D11"/>
    <w:rsid w:val="00DA1E6D"/>
    <w:rsid w:val="00DA2618"/>
    <w:rsid w:val="00DA2679"/>
    <w:rsid w:val="00DA27FF"/>
    <w:rsid w:val="00DA33E3"/>
    <w:rsid w:val="00DA3760"/>
    <w:rsid w:val="00DA3FE5"/>
    <w:rsid w:val="00DA4990"/>
    <w:rsid w:val="00DA51FC"/>
    <w:rsid w:val="00DA522A"/>
    <w:rsid w:val="00DA5884"/>
    <w:rsid w:val="00DA6BCF"/>
    <w:rsid w:val="00DA72EA"/>
    <w:rsid w:val="00DA75F7"/>
    <w:rsid w:val="00DA79C0"/>
    <w:rsid w:val="00DA7E52"/>
    <w:rsid w:val="00DB01AF"/>
    <w:rsid w:val="00DB0584"/>
    <w:rsid w:val="00DB1B1D"/>
    <w:rsid w:val="00DB2045"/>
    <w:rsid w:val="00DB247A"/>
    <w:rsid w:val="00DB2C17"/>
    <w:rsid w:val="00DB5648"/>
    <w:rsid w:val="00DB5BBF"/>
    <w:rsid w:val="00DB5DA3"/>
    <w:rsid w:val="00DB604F"/>
    <w:rsid w:val="00DB6382"/>
    <w:rsid w:val="00DB6F33"/>
    <w:rsid w:val="00DB7749"/>
    <w:rsid w:val="00DB77C9"/>
    <w:rsid w:val="00DB7AE6"/>
    <w:rsid w:val="00DC084D"/>
    <w:rsid w:val="00DC203D"/>
    <w:rsid w:val="00DC2230"/>
    <w:rsid w:val="00DC2259"/>
    <w:rsid w:val="00DC241C"/>
    <w:rsid w:val="00DC257F"/>
    <w:rsid w:val="00DC2737"/>
    <w:rsid w:val="00DC2D43"/>
    <w:rsid w:val="00DC3564"/>
    <w:rsid w:val="00DC3A38"/>
    <w:rsid w:val="00DC4C5E"/>
    <w:rsid w:val="00DC4FF9"/>
    <w:rsid w:val="00DC52D2"/>
    <w:rsid w:val="00DC541E"/>
    <w:rsid w:val="00DC5665"/>
    <w:rsid w:val="00DC60BF"/>
    <w:rsid w:val="00DC6F77"/>
    <w:rsid w:val="00DC75E9"/>
    <w:rsid w:val="00DC79E3"/>
    <w:rsid w:val="00DD0713"/>
    <w:rsid w:val="00DD09D3"/>
    <w:rsid w:val="00DD0FFE"/>
    <w:rsid w:val="00DD2751"/>
    <w:rsid w:val="00DD2AA7"/>
    <w:rsid w:val="00DD2ECF"/>
    <w:rsid w:val="00DD3349"/>
    <w:rsid w:val="00DD3A4E"/>
    <w:rsid w:val="00DD42B7"/>
    <w:rsid w:val="00DD489B"/>
    <w:rsid w:val="00DD51A9"/>
    <w:rsid w:val="00DD608E"/>
    <w:rsid w:val="00DD6E98"/>
    <w:rsid w:val="00DD7000"/>
    <w:rsid w:val="00DD722D"/>
    <w:rsid w:val="00DE0476"/>
    <w:rsid w:val="00DE16F5"/>
    <w:rsid w:val="00DE21F3"/>
    <w:rsid w:val="00DE262E"/>
    <w:rsid w:val="00DE462E"/>
    <w:rsid w:val="00DE4B1D"/>
    <w:rsid w:val="00DE6835"/>
    <w:rsid w:val="00DE6EB2"/>
    <w:rsid w:val="00DE7A2C"/>
    <w:rsid w:val="00DE7A8F"/>
    <w:rsid w:val="00DE7B00"/>
    <w:rsid w:val="00DF1011"/>
    <w:rsid w:val="00DF1732"/>
    <w:rsid w:val="00DF23B0"/>
    <w:rsid w:val="00DF2A62"/>
    <w:rsid w:val="00DF3351"/>
    <w:rsid w:val="00DF36CD"/>
    <w:rsid w:val="00DF400C"/>
    <w:rsid w:val="00DF4931"/>
    <w:rsid w:val="00DF571F"/>
    <w:rsid w:val="00DF61B3"/>
    <w:rsid w:val="00DF63DB"/>
    <w:rsid w:val="00E002C4"/>
    <w:rsid w:val="00E003C9"/>
    <w:rsid w:val="00E010F1"/>
    <w:rsid w:val="00E01A82"/>
    <w:rsid w:val="00E01AFD"/>
    <w:rsid w:val="00E01EA7"/>
    <w:rsid w:val="00E022C7"/>
    <w:rsid w:val="00E03750"/>
    <w:rsid w:val="00E03D6A"/>
    <w:rsid w:val="00E053E6"/>
    <w:rsid w:val="00E0599E"/>
    <w:rsid w:val="00E0761D"/>
    <w:rsid w:val="00E07791"/>
    <w:rsid w:val="00E077D4"/>
    <w:rsid w:val="00E07B9C"/>
    <w:rsid w:val="00E07CCD"/>
    <w:rsid w:val="00E1040F"/>
    <w:rsid w:val="00E10569"/>
    <w:rsid w:val="00E112BF"/>
    <w:rsid w:val="00E11795"/>
    <w:rsid w:val="00E12600"/>
    <w:rsid w:val="00E12891"/>
    <w:rsid w:val="00E128E7"/>
    <w:rsid w:val="00E14C38"/>
    <w:rsid w:val="00E1523A"/>
    <w:rsid w:val="00E152D8"/>
    <w:rsid w:val="00E15732"/>
    <w:rsid w:val="00E158D7"/>
    <w:rsid w:val="00E15B3B"/>
    <w:rsid w:val="00E16D5B"/>
    <w:rsid w:val="00E175FA"/>
    <w:rsid w:val="00E17E25"/>
    <w:rsid w:val="00E2064D"/>
    <w:rsid w:val="00E20BAD"/>
    <w:rsid w:val="00E21D7A"/>
    <w:rsid w:val="00E23258"/>
    <w:rsid w:val="00E240C2"/>
    <w:rsid w:val="00E24597"/>
    <w:rsid w:val="00E25034"/>
    <w:rsid w:val="00E260AA"/>
    <w:rsid w:val="00E2615D"/>
    <w:rsid w:val="00E26BB1"/>
    <w:rsid w:val="00E26FE2"/>
    <w:rsid w:val="00E273CB"/>
    <w:rsid w:val="00E2771D"/>
    <w:rsid w:val="00E3079E"/>
    <w:rsid w:val="00E3293C"/>
    <w:rsid w:val="00E34547"/>
    <w:rsid w:val="00E4044D"/>
    <w:rsid w:val="00E40C59"/>
    <w:rsid w:val="00E4144A"/>
    <w:rsid w:val="00E4217D"/>
    <w:rsid w:val="00E42574"/>
    <w:rsid w:val="00E42E8F"/>
    <w:rsid w:val="00E4378F"/>
    <w:rsid w:val="00E43BA7"/>
    <w:rsid w:val="00E43C59"/>
    <w:rsid w:val="00E43F82"/>
    <w:rsid w:val="00E44780"/>
    <w:rsid w:val="00E45472"/>
    <w:rsid w:val="00E4594B"/>
    <w:rsid w:val="00E4598D"/>
    <w:rsid w:val="00E45AAB"/>
    <w:rsid w:val="00E45B7E"/>
    <w:rsid w:val="00E45F42"/>
    <w:rsid w:val="00E46241"/>
    <w:rsid w:val="00E46AF6"/>
    <w:rsid w:val="00E46DB8"/>
    <w:rsid w:val="00E5031B"/>
    <w:rsid w:val="00E509D0"/>
    <w:rsid w:val="00E50CC3"/>
    <w:rsid w:val="00E51ABB"/>
    <w:rsid w:val="00E52F55"/>
    <w:rsid w:val="00E532CB"/>
    <w:rsid w:val="00E537DF"/>
    <w:rsid w:val="00E543D2"/>
    <w:rsid w:val="00E55107"/>
    <w:rsid w:val="00E559C3"/>
    <w:rsid w:val="00E55CE7"/>
    <w:rsid w:val="00E579FC"/>
    <w:rsid w:val="00E600E1"/>
    <w:rsid w:val="00E601DF"/>
    <w:rsid w:val="00E6041F"/>
    <w:rsid w:val="00E605C5"/>
    <w:rsid w:val="00E60FEC"/>
    <w:rsid w:val="00E6147D"/>
    <w:rsid w:val="00E620B1"/>
    <w:rsid w:val="00E622F7"/>
    <w:rsid w:val="00E6260F"/>
    <w:rsid w:val="00E645AD"/>
    <w:rsid w:val="00E64C85"/>
    <w:rsid w:val="00E653F3"/>
    <w:rsid w:val="00E6674C"/>
    <w:rsid w:val="00E67208"/>
    <w:rsid w:val="00E673A6"/>
    <w:rsid w:val="00E6780B"/>
    <w:rsid w:val="00E679C0"/>
    <w:rsid w:val="00E67E4D"/>
    <w:rsid w:val="00E70EC5"/>
    <w:rsid w:val="00E712F2"/>
    <w:rsid w:val="00E72573"/>
    <w:rsid w:val="00E7270F"/>
    <w:rsid w:val="00E72817"/>
    <w:rsid w:val="00E72C12"/>
    <w:rsid w:val="00E72F63"/>
    <w:rsid w:val="00E737B9"/>
    <w:rsid w:val="00E74165"/>
    <w:rsid w:val="00E745F8"/>
    <w:rsid w:val="00E759BA"/>
    <w:rsid w:val="00E76E65"/>
    <w:rsid w:val="00E80204"/>
    <w:rsid w:val="00E806E9"/>
    <w:rsid w:val="00E81973"/>
    <w:rsid w:val="00E82514"/>
    <w:rsid w:val="00E82AF5"/>
    <w:rsid w:val="00E82CCD"/>
    <w:rsid w:val="00E8452F"/>
    <w:rsid w:val="00E84BD4"/>
    <w:rsid w:val="00E859F0"/>
    <w:rsid w:val="00E86142"/>
    <w:rsid w:val="00E863BD"/>
    <w:rsid w:val="00E8680E"/>
    <w:rsid w:val="00E87131"/>
    <w:rsid w:val="00E872EF"/>
    <w:rsid w:val="00E87620"/>
    <w:rsid w:val="00E90102"/>
    <w:rsid w:val="00E90C68"/>
    <w:rsid w:val="00E91174"/>
    <w:rsid w:val="00E92753"/>
    <w:rsid w:val="00E92E33"/>
    <w:rsid w:val="00E95791"/>
    <w:rsid w:val="00E9627C"/>
    <w:rsid w:val="00E96796"/>
    <w:rsid w:val="00E96BAB"/>
    <w:rsid w:val="00E96E24"/>
    <w:rsid w:val="00E9716D"/>
    <w:rsid w:val="00EA00DD"/>
    <w:rsid w:val="00EA02CC"/>
    <w:rsid w:val="00EA04D1"/>
    <w:rsid w:val="00EA111A"/>
    <w:rsid w:val="00EA17F5"/>
    <w:rsid w:val="00EA1D9D"/>
    <w:rsid w:val="00EA4652"/>
    <w:rsid w:val="00EA488B"/>
    <w:rsid w:val="00EA557B"/>
    <w:rsid w:val="00EA5BCC"/>
    <w:rsid w:val="00EA5C5F"/>
    <w:rsid w:val="00EA60BA"/>
    <w:rsid w:val="00EA655A"/>
    <w:rsid w:val="00EA67A6"/>
    <w:rsid w:val="00EB0326"/>
    <w:rsid w:val="00EB0631"/>
    <w:rsid w:val="00EB12BF"/>
    <w:rsid w:val="00EB1A74"/>
    <w:rsid w:val="00EB1E57"/>
    <w:rsid w:val="00EB2808"/>
    <w:rsid w:val="00EB2A7F"/>
    <w:rsid w:val="00EB353A"/>
    <w:rsid w:val="00EB3BC7"/>
    <w:rsid w:val="00EB3E4B"/>
    <w:rsid w:val="00EB3FAC"/>
    <w:rsid w:val="00EB4160"/>
    <w:rsid w:val="00EB5001"/>
    <w:rsid w:val="00EB5453"/>
    <w:rsid w:val="00EB5E5F"/>
    <w:rsid w:val="00EC04E9"/>
    <w:rsid w:val="00EC3412"/>
    <w:rsid w:val="00EC3F27"/>
    <w:rsid w:val="00EC406F"/>
    <w:rsid w:val="00EC435D"/>
    <w:rsid w:val="00EC45BB"/>
    <w:rsid w:val="00EC48E5"/>
    <w:rsid w:val="00EC55B2"/>
    <w:rsid w:val="00EC5E4F"/>
    <w:rsid w:val="00EC5FC6"/>
    <w:rsid w:val="00EC6BA3"/>
    <w:rsid w:val="00EC6C26"/>
    <w:rsid w:val="00EC70D4"/>
    <w:rsid w:val="00EC7272"/>
    <w:rsid w:val="00EC77A2"/>
    <w:rsid w:val="00EC792F"/>
    <w:rsid w:val="00ED0387"/>
    <w:rsid w:val="00ED0515"/>
    <w:rsid w:val="00ED1BB8"/>
    <w:rsid w:val="00ED26A9"/>
    <w:rsid w:val="00ED29AC"/>
    <w:rsid w:val="00ED3311"/>
    <w:rsid w:val="00ED394D"/>
    <w:rsid w:val="00ED3B98"/>
    <w:rsid w:val="00ED4233"/>
    <w:rsid w:val="00ED4256"/>
    <w:rsid w:val="00ED4647"/>
    <w:rsid w:val="00ED4BCA"/>
    <w:rsid w:val="00ED4F4B"/>
    <w:rsid w:val="00ED693C"/>
    <w:rsid w:val="00EE15B9"/>
    <w:rsid w:val="00EE1B45"/>
    <w:rsid w:val="00EE21C1"/>
    <w:rsid w:val="00EE3BE0"/>
    <w:rsid w:val="00EE4024"/>
    <w:rsid w:val="00EE41D7"/>
    <w:rsid w:val="00EE429E"/>
    <w:rsid w:val="00EE4EC6"/>
    <w:rsid w:val="00EE4EF1"/>
    <w:rsid w:val="00EE65DE"/>
    <w:rsid w:val="00EE7A65"/>
    <w:rsid w:val="00EF13D1"/>
    <w:rsid w:val="00EF1B32"/>
    <w:rsid w:val="00EF1E07"/>
    <w:rsid w:val="00EF1EAF"/>
    <w:rsid w:val="00EF354E"/>
    <w:rsid w:val="00EF4048"/>
    <w:rsid w:val="00EF42D3"/>
    <w:rsid w:val="00EF5249"/>
    <w:rsid w:val="00EF6D1A"/>
    <w:rsid w:val="00EF7920"/>
    <w:rsid w:val="00F01338"/>
    <w:rsid w:val="00F03298"/>
    <w:rsid w:val="00F035CA"/>
    <w:rsid w:val="00F03A00"/>
    <w:rsid w:val="00F050AD"/>
    <w:rsid w:val="00F06381"/>
    <w:rsid w:val="00F07B9B"/>
    <w:rsid w:val="00F10947"/>
    <w:rsid w:val="00F13C54"/>
    <w:rsid w:val="00F14B75"/>
    <w:rsid w:val="00F14EA2"/>
    <w:rsid w:val="00F15464"/>
    <w:rsid w:val="00F15B0F"/>
    <w:rsid w:val="00F15E37"/>
    <w:rsid w:val="00F16177"/>
    <w:rsid w:val="00F17236"/>
    <w:rsid w:val="00F17742"/>
    <w:rsid w:val="00F20078"/>
    <w:rsid w:val="00F2147E"/>
    <w:rsid w:val="00F23A35"/>
    <w:rsid w:val="00F23B1E"/>
    <w:rsid w:val="00F23DA3"/>
    <w:rsid w:val="00F24C74"/>
    <w:rsid w:val="00F24EF8"/>
    <w:rsid w:val="00F25973"/>
    <w:rsid w:val="00F25E5C"/>
    <w:rsid w:val="00F26593"/>
    <w:rsid w:val="00F27590"/>
    <w:rsid w:val="00F2798F"/>
    <w:rsid w:val="00F30640"/>
    <w:rsid w:val="00F31452"/>
    <w:rsid w:val="00F31CBA"/>
    <w:rsid w:val="00F32E2C"/>
    <w:rsid w:val="00F33193"/>
    <w:rsid w:val="00F331B4"/>
    <w:rsid w:val="00F33612"/>
    <w:rsid w:val="00F3453F"/>
    <w:rsid w:val="00F35F80"/>
    <w:rsid w:val="00F36053"/>
    <w:rsid w:val="00F3666F"/>
    <w:rsid w:val="00F377C7"/>
    <w:rsid w:val="00F37845"/>
    <w:rsid w:val="00F40059"/>
    <w:rsid w:val="00F4037B"/>
    <w:rsid w:val="00F404A7"/>
    <w:rsid w:val="00F40A7E"/>
    <w:rsid w:val="00F415F2"/>
    <w:rsid w:val="00F4180B"/>
    <w:rsid w:val="00F41BAD"/>
    <w:rsid w:val="00F42A90"/>
    <w:rsid w:val="00F440C0"/>
    <w:rsid w:val="00F449B9"/>
    <w:rsid w:val="00F45609"/>
    <w:rsid w:val="00F456A8"/>
    <w:rsid w:val="00F460EA"/>
    <w:rsid w:val="00F46F63"/>
    <w:rsid w:val="00F47077"/>
    <w:rsid w:val="00F50757"/>
    <w:rsid w:val="00F50DAD"/>
    <w:rsid w:val="00F50F88"/>
    <w:rsid w:val="00F514DD"/>
    <w:rsid w:val="00F515A7"/>
    <w:rsid w:val="00F5171F"/>
    <w:rsid w:val="00F51933"/>
    <w:rsid w:val="00F5248F"/>
    <w:rsid w:val="00F532B7"/>
    <w:rsid w:val="00F537BA"/>
    <w:rsid w:val="00F54A64"/>
    <w:rsid w:val="00F54E98"/>
    <w:rsid w:val="00F5502A"/>
    <w:rsid w:val="00F56CFF"/>
    <w:rsid w:val="00F56E4A"/>
    <w:rsid w:val="00F574EE"/>
    <w:rsid w:val="00F57505"/>
    <w:rsid w:val="00F602C9"/>
    <w:rsid w:val="00F606B5"/>
    <w:rsid w:val="00F60AC3"/>
    <w:rsid w:val="00F6124F"/>
    <w:rsid w:val="00F6149E"/>
    <w:rsid w:val="00F61CC0"/>
    <w:rsid w:val="00F63A87"/>
    <w:rsid w:val="00F643DD"/>
    <w:rsid w:val="00F647D8"/>
    <w:rsid w:val="00F65A74"/>
    <w:rsid w:val="00F65D73"/>
    <w:rsid w:val="00F65E01"/>
    <w:rsid w:val="00F66848"/>
    <w:rsid w:val="00F66CD1"/>
    <w:rsid w:val="00F6732D"/>
    <w:rsid w:val="00F674D1"/>
    <w:rsid w:val="00F675CE"/>
    <w:rsid w:val="00F6789A"/>
    <w:rsid w:val="00F67B61"/>
    <w:rsid w:val="00F7018D"/>
    <w:rsid w:val="00F71677"/>
    <w:rsid w:val="00F726BA"/>
    <w:rsid w:val="00F729A7"/>
    <w:rsid w:val="00F72CF4"/>
    <w:rsid w:val="00F736F6"/>
    <w:rsid w:val="00F73D28"/>
    <w:rsid w:val="00F74223"/>
    <w:rsid w:val="00F744C1"/>
    <w:rsid w:val="00F744F8"/>
    <w:rsid w:val="00F7492E"/>
    <w:rsid w:val="00F750E8"/>
    <w:rsid w:val="00F75102"/>
    <w:rsid w:val="00F76EB4"/>
    <w:rsid w:val="00F77598"/>
    <w:rsid w:val="00F77907"/>
    <w:rsid w:val="00F8103B"/>
    <w:rsid w:val="00F81B76"/>
    <w:rsid w:val="00F8224A"/>
    <w:rsid w:val="00F82690"/>
    <w:rsid w:val="00F826FF"/>
    <w:rsid w:val="00F83239"/>
    <w:rsid w:val="00F83A73"/>
    <w:rsid w:val="00F83DE1"/>
    <w:rsid w:val="00F8428B"/>
    <w:rsid w:val="00F84338"/>
    <w:rsid w:val="00F8448B"/>
    <w:rsid w:val="00F85273"/>
    <w:rsid w:val="00F85A54"/>
    <w:rsid w:val="00F85F61"/>
    <w:rsid w:val="00F86209"/>
    <w:rsid w:val="00F86BBE"/>
    <w:rsid w:val="00F86E92"/>
    <w:rsid w:val="00F8714E"/>
    <w:rsid w:val="00F8724F"/>
    <w:rsid w:val="00F8728F"/>
    <w:rsid w:val="00F87569"/>
    <w:rsid w:val="00F87FDE"/>
    <w:rsid w:val="00F90A23"/>
    <w:rsid w:val="00F9218F"/>
    <w:rsid w:val="00F92270"/>
    <w:rsid w:val="00F9397B"/>
    <w:rsid w:val="00F939CC"/>
    <w:rsid w:val="00F96396"/>
    <w:rsid w:val="00F9672C"/>
    <w:rsid w:val="00F974A5"/>
    <w:rsid w:val="00FA0FB8"/>
    <w:rsid w:val="00FA1472"/>
    <w:rsid w:val="00FA1BE4"/>
    <w:rsid w:val="00FA217C"/>
    <w:rsid w:val="00FA2581"/>
    <w:rsid w:val="00FA2C17"/>
    <w:rsid w:val="00FA5090"/>
    <w:rsid w:val="00FA5EF2"/>
    <w:rsid w:val="00FA77A5"/>
    <w:rsid w:val="00FB0120"/>
    <w:rsid w:val="00FB0636"/>
    <w:rsid w:val="00FB28F2"/>
    <w:rsid w:val="00FB42BA"/>
    <w:rsid w:val="00FB458F"/>
    <w:rsid w:val="00FB47DA"/>
    <w:rsid w:val="00FB4E0C"/>
    <w:rsid w:val="00FB51F0"/>
    <w:rsid w:val="00FB5F3F"/>
    <w:rsid w:val="00FB68BA"/>
    <w:rsid w:val="00FB73E8"/>
    <w:rsid w:val="00FB7B4F"/>
    <w:rsid w:val="00FB7EA5"/>
    <w:rsid w:val="00FC1948"/>
    <w:rsid w:val="00FC1F45"/>
    <w:rsid w:val="00FC343D"/>
    <w:rsid w:val="00FC461B"/>
    <w:rsid w:val="00FC4A8C"/>
    <w:rsid w:val="00FC4FF5"/>
    <w:rsid w:val="00FC5059"/>
    <w:rsid w:val="00FC64A7"/>
    <w:rsid w:val="00FC6AB7"/>
    <w:rsid w:val="00FC6EA4"/>
    <w:rsid w:val="00FD01F3"/>
    <w:rsid w:val="00FD0233"/>
    <w:rsid w:val="00FD0A48"/>
    <w:rsid w:val="00FD3260"/>
    <w:rsid w:val="00FD45EC"/>
    <w:rsid w:val="00FD4AB0"/>
    <w:rsid w:val="00FD5D00"/>
    <w:rsid w:val="00FD61EC"/>
    <w:rsid w:val="00FD7A2F"/>
    <w:rsid w:val="00FD7D75"/>
    <w:rsid w:val="00FD7D96"/>
    <w:rsid w:val="00FE000F"/>
    <w:rsid w:val="00FE0397"/>
    <w:rsid w:val="00FE04E3"/>
    <w:rsid w:val="00FE0750"/>
    <w:rsid w:val="00FE0BA5"/>
    <w:rsid w:val="00FE11E9"/>
    <w:rsid w:val="00FE13F8"/>
    <w:rsid w:val="00FE20A2"/>
    <w:rsid w:val="00FE2356"/>
    <w:rsid w:val="00FE23AC"/>
    <w:rsid w:val="00FE320D"/>
    <w:rsid w:val="00FE3B4C"/>
    <w:rsid w:val="00FE429C"/>
    <w:rsid w:val="00FE5C28"/>
    <w:rsid w:val="00FE75B9"/>
    <w:rsid w:val="00FE7B84"/>
    <w:rsid w:val="00FF06C1"/>
    <w:rsid w:val="00FF0BFB"/>
    <w:rsid w:val="00FF1423"/>
    <w:rsid w:val="00FF3639"/>
    <w:rsid w:val="00FF39FC"/>
    <w:rsid w:val="00FF3A6F"/>
    <w:rsid w:val="00FF4B32"/>
    <w:rsid w:val="00FF54D6"/>
    <w:rsid w:val="00FF65CC"/>
    <w:rsid w:val="00FF730A"/>
    <w:rsid w:val="00FF743A"/>
    <w:rsid w:val="0B7D0BA5"/>
    <w:rsid w:val="0C102DB4"/>
    <w:rsid w:val="0DEDB937"/>
    <w:rsid w:val="0DEF1444"/>
    <w:rsid w:val="0FDA3779"/>
    <w:rsid w:val="173BA11A"/>
    <w:rsid w:val="1CB7D712"/>
    <w:rsid w:val="1D4F2E76"/>
    <w:rsid w:val="1D728C95"/>
    <w:rsid w:val="1E7B81DE"/>
    <w:rsid w:val="1FAEB877"/>
    <w:rsid w:val="1FF7E63F"/>
    <w:rsid w:val="23F587A7"/>
    <w:rsid w:val="24F20822"/>
    <w:rsid w:val="24FEC627"/>
    <w:rsid w:val="25DF752F"/>
    <w:rsid w:val="26BB361E"/>
    <w:rsid w:val="27BF9672"/>
    <w:rsid w:val="29B71B88"/>
    <w:rsid w:val="29EDA202"/>
    <w:rsid w:val="2BAEC8CF"/>
    <w:rsid w:val="2BDDD083"/>
    <w:rsid w:val="2BDFECDE"/>
    <w:rsid w:val="2D3C96FA"/>
    <w:rsid w:val="2EBB653A"/>
    <w:rsid w:val="2F6FD430"/>
    <w:rsid w:val="2FABC229"/>
    <w:rsid w:val="2FB7257C"/>
    <w:rsid w:val="2FDFD938"/>
    <w:rsid w:val="2FFC1D73"/>
    <w:rsid w:val="3277F6C3"/>
    <w:rsid w:val="33BB0F6F"/>
    <w:rsid w:val="33EA3D11"/>
    <w:rsid w:val="355F4223"/>
    <w:rsid w:val="35FEC8ED"/>
    <w:rsid w:val="372FA296"/>
    <w:rsid w:val="377F867B"/>
    <w:rsid w:val="379EABB2"/>
    <w:rsid w:val="37A48BE6"/>
    <w:rsid w:val="37DF094B"/>
    <w:rsid w:val="38ED37C8"/>
    <w:rsid w:val="39CD90DC"/>
    <w:rsid w:val="39E57C32"/>
    <w:rsid w:val="3AB3615A"/>
    <w:rsid w:val="3AB3AD05"/>
    <w:rsid w:val="3AD22062"/>
    <w:rsid w:val="3AFBABD8"/>
    <w:rsid w:val="3AFD965C"/>
    <w:rsid w:val="3B7ECB9D"/>
    <w:rsid w:val="3B827668"/>
    <w:rsid w:val="3BAE9301"/>
    <w:rsid w:val="3BBF62AE"/>
    <w:rsid w:val="3BBFD437"/>
    <w:rsid w:val="3BD7B1D9"/>
    <w:rsid w:val="3BDDE06F"/>
    <w:rsid w:val="3BE79F10"/>
    <w:rsid w:val="3BF97589"/>
    <w:rsid w:val="3BFF1638"/>
    <w:rsid w:val="3C44092B"/>
    <w:rsid w:val="3CCDF443"/>
    <w:rsid w:val="3DEF33A3"/>
    <w:rsid w:val="3DF52E35"/>
    <w:rsid w:val="3DF565CF"/>
    <w:rsid w:val="3DFEC2A1"/>
    <w:rsid w:val="3E1B2744"/>
    <w:rsid w:val="3E3FC990"/>
    <w:rsid w:val="3E5D86AB"/>
    <w:rsid w:val="3EED959E"/>
    <w:rsid w:val="3EF2058E"/>
    <w:rsid w:val="3F2FB8EF"/>
    <w:rsid w:val="3F35F5E5"/>
    <w:rsid w:val="3F934085"/>
    <w:rsid w:val="3FA7AA0C"/>
    <w:rsid w:val="3FCBEE19"/>
    <w:rsid w:val="3FCFA141"/>
    <w:rsid w:val="3FE5252E"/>
    <w:rsid w:val="3FE57C23"/>
    <w:rsid w:val="3FE7DD26"/>
    <w:rsid w:val="3FEFCE3B"/>
    <w:rsid w:val="3FF4F767"/>
    <w:rsid w:val="3FFC40B7"/>
    <w:rsid w:val="3FFF2797"/>
    <w:rsid w:val="3FFF5271"/>
    <w:rsid w:val="46D565AE"/>
    <w:rsid w:val="48FF0D6E"/>
    <w:rsid w:val="4A4E5858"/>
    <w:rsid w:val="4D0D1099"/>
    <w:rsid w:val="4EF9EC6D"/>
    <w:rsid w:val="4F912E1A"/>
    <w:rsid w:val="4FB96A4A"/>
    <w:rsid w:val="4FDEE729"/>
    <w:rsid w:val="4FFD0CF3"/>
    <w:rsid w:val="50F552D1"/>
    <w:rsid w:val="51DF7783"/>
    <w:rsid w:val="53F65681"/>
    <w:rsid w:val="55732F9E"/>
    <w:rsid w:val="55CA670A"/>
    <w:rsid w:val="55DF9541"/>
    <w:rsid w:val="56FE84AC"/>
    <w:rsid w:val="56FF7BB2"/>
    <w:rsid w:val="57BD2275"/>
    <w:rsid w:val="57BDC4CB"/>
    <w:rsid w:val="57BFDC64"/>
    <w:rsid w:val="57F11A29"/>
    <w:rsid w:val="594C407E"/>
    <w:rsid w:val="59771812"/>
    <w:rsid w:val="597F7F3D"/>
    <w:rsid w:val="5A440B56"/>
    <w:rsid w:val="5A7A31FC"/>
    <w:rsid w:val="5ABAFFBD"/>
    <w:rsid w:val="5B4E58D8"/>
    <w:rsid w:val="5B6FB94C"/>
    <w:rsid w:val="5B7C8B73"/>
    <w:rsid w:val="5B7F65BE"/>
    <w:rsid w:val="5BC5E350"/>
    <w:rsid w:val="5BC960B4"/>
    <w:rsid w:val="5BEB201E"/>
    <w:rsid w:val="5BFD4FEB"/>
    <w:rsid w:val="5CBF9035"/>
    <w:rsid w:val="5D7F4CD8"/>
    <w:rsid w:val="5DB74903"/>
    <w:rsid w:val="5DBB4D62"/>
    <w:rsid w:val="5DEAC109"/>
    <w:rsid w:val="5DEB7AC0"/>
    <w:rsid w:val="5DFD4AB7"/>
    <w:rsid w:val="5EDE2F22"/>
    <w:rsid w:val="5F67FCEC"/>
    <w:rsid w:val="5F6DEAF1"/>
    <w:rsid w:val="5F6E95AD"/>
    <w:rsid w:val="5F8E4BFE"/>
    <w:rsid w:val="5F9C5D5A"/>
    <w:rsid w:val="5FACE6A6"/>
    <w:rsid w:val="5FAEC2FB"/>
    <w:rsid w:val="5FB59398"/>
    <w:rsid w:val="5FB70B23"/>
    <w:rsid w:val="5FB776F6"/>
    <w:rsid w:val="5FBB7FCD"/>
    <w:rsid w:val="5FBEE8EA"/>
    <w:rsid w:val="5FDD1071"/>
    <w:rsid w:val="5FDDEDEE"/>
    <w:rsid w:val="5FDF39B3"/>
    <w:rsid w:val="5FDFC7D1"/>
    <w:rsid w:val="5FF03D39"/>
    <w:rsid w:val="5FF41DA4"/>
    <w:rsid w:val="5FF4981A"/>
    <w:rsid w:val="5FF5A31A"/>
    <w:rsid w:val="5FFB23EA"/>
    <w:rsid w:val="5FFE86F2"/>
    <w:rsid w:val="5FFFE17C"/>
    <w:rsid w:val="63F72A2D"/>
    <w:rsid w:val="63FC01AD"/>
    <w:rsid w:val="63FEDFAE"/>
    <w:rsid w:val="646D046D"/>
    <w:rsid w:val="64F1B0A2"/>
    <w:rsid w:val="66DF5421"/>
    <w:rsid w:val="6776FE11"/>
    <w:rsid w:val="677C4BAA"/>
    <w:rsid w:val="67BFF75D"/>
    <w:rsid w:val="67C08AC3"/>
    <w:rsid w:val="67F7A611"/>
    <w:rsid w:val="67FD1953"/>
    <w:rsid w:val="67FE5DE1"/>
    <w:rsid w:val="67FF6178"/>
    <w:rsid w:val="67FF90C6"/>
    <w:rsid w:val="68BD4C60"/>
    <w:rsid w:val="69EFAF23"/>
    <w:rsid w:val="69F9FAD7"/>
    <w:rsid w:val="6A79DFEE"/>
    <w:rsid w:val="6A7F6D7D"/>
    <w:rsid w:val="6B5E1B11"/>
    <w:rsid w:val="6B76A062"/>
    <w:rsid w:val="6B7979F2"/>
    <w:rsid w:val="6BBE77E3"/>
    <w:rsid w:val="6BE9E9A8"/>
    <w:rsid w:val="6BF3C235"/>
    <w:rsid w:val="6BF66BA3"/>
    <w:rsid w:val="6BFD6105"/>
    <w:rsid w:val="6BFFBC8C"/>
    <w:rsid w:val="6DBD363F"/>
    <w:rsid w:val="6DD5D82E"/>
    <w:rsid w:val="6DD6FBBD"/>
    <w:rsid w:val="6DD7D032"/>
    <w:rsid w:val="6DDDB274"/>
    <w:rsid w:val="6DFFE85E"/>
    <w:rsid w:val="6EBCCBC9"/>
    <w:rsid w:val="6EBFC1E2"/>
    <w:rsid w:val="6EE5459A"/>
    <w:rsid w:val="6EEF22B1"/>
    <w:rsid w:val="6F1DEE88"/>
    <w:rsid w:val="6F2ECA97"/>
    <w:rsid w:val="6F3F6E0D"/>
    <w:rsid w:val="6F5E6B22"/>
    <w:rsid w:val="6F71CEA6"/>
    <w:rsid w:val="6F7415CB"/>
    <w:rsid w:val="6F8E10B9"/>
    <w:rsid w:val="6F93F81A"/>
    <w:rsid w:val="6FBFAB15"/>
    <w:rsid w:val="6FBFC7AB"/>
    <w:rsid w:val="6FDADA5E"/>
    <w:rsid w:val="6FDD084B"/>
    <w:rsid w:val="6FDDF56B"/>
    <w:rsid w:val="6FDF4907"/>
    <w:rsid w:val="6FE597BD"/>
    <w:rsid w:val="6FEEC514"/>
    <w:rsid w:val="6FEFB52F"/>
    <w:rsid w:val="6FF36F43"/>
    <w:rsid w:val="6FFA32E2"/>
    <w:rsid w:val="6FFB11AB"/>
    <w:rsid w:val="6FFBE29C"/>
    <w:rsid w:val="6FFD209F"/>
    <w:rsid w:val="6FFD3A46"/>
    <w:rsid w:val="6FFEBD84"/>
    <w:rsid w:val="6FFECE72"/>
    <w:rsid w:val="6FFEF869"/>
    <w:rsid w:val="6FFF00C7"/>
    <w:rsid w:val="6FFF28D8"/>
    <w:rsid w:val="6FFF801F"/>
    <w:rsid w:val="6FFF9DE7"/>
    <w:rsid w:val="704915C5"/>
    <w:rsid w:val="71FE4565"/>
    <w:rsid w:val="71FF613F"/>
    <w:rsid w:val="733AD8CA"/>
    <w:rsid w:val="73AA2B3A"/>
    <w:rsid w:val="73AF0DBB"/>
    <w:rsid w:val="73BC045E"/>
    <w:rsid w:val="73BDD589"/>
    <w:rsid w:val="73CAD75B"/>
    <w:rsid w:val="73DC0A5A"/>
    <w:rsid w:val="73ED9644"/>
    <w:rsid w:val="73F7BEB4"/>
    <w:rsid w:val="73F93D73"/>
    <w:rsid w:val="73F93D99"/>
    <w:rsid w:val="74DC2008"/>
    <w:rsid w:val="74F1D24B"/>
    <w:rsid w:val="74F21959"/>
    <w:rsid w:val="74F9FB9E"/>
    <w:rsid w:val="74FFD134"/>
    <w:rsid w:val="757FC8C7"/>
    <w:rsid w:val="75B6AEA1"/>
    <w:rsid w:val="76BF0F5B"/>
    <w:rsid w:val="76DCB843"/>
    <w:rsid w:val="76DD32D1"/>
    <w:rsid w:val="76F29FEC"/>
    <w:rsid w:val="76F7BDAD"/>
    <w:rsid w:val="76FD481E"/>
    <w:rsid w:val="772780F9"/>
    <w:rsid w:val="7727860B"/>
    <w:rsid w:val="77694688"/>
    <w:rsid w:val="777E6FBE"/>
    <w:rsid w:val="77D519CD"/>
    <w:rsid w:val="77D9126A"/>
    <w:rsid w:val="77DE7C34"/>
    <w:rsid w:val="77E7FE1D"/>
    <w:rsid w:val="77ED0920"/>
    <w:rsid w:val="77EF4AD2"/>
    <w:rsid w:val="77EF4D5D"/>
    <w:rsid w:val="77F1E68C"/>
    <w:rsid w:val="77F74282"/>
    <w:rsid w:val="77FBCBC5"/>
    <w:rsid w:val="77FCEC5F"/>
    <w:rsid w:val="78EF6803"/>
    <w:rsid w:val="799AEB09"/>
    <w:rsid w:val="79AD1F77"/>
    <w:rsid w:val="79ECB0DC"/>
    <w:rsid w:val="79ED07DF"/>
    <w:rsid w:val="79ED7D61"/>
    <w:rsid w:val="79EF1868"/>
    <w:rsid w:val="79FF5D19"/>
    <w:rsid w:val="7ABB12EE"/>
    <w:rsid w:val="7ADF8DD6"/>
    <w:rsid w:val="7AEF4F91"/>
    <w:rsid w:val="7AF22D4C"/>
    <w:rsid w:val="7AFB0B1A"/>
    <w:rsid w:val="7B19525D"/>
    <w:rsid w:val="7B1F1A1D"/>
    <w:rsid w:val="7B6F380D"/>
    <w:rsid w:val="7B7371DF"/>
    <w:rsid w:val="7BBDB292"/>
    <w:rsid w:val="7BDD3F5C"/>
    <w:rsid w:val="7BDFDF15"/>
    <w:rsid w:val="7BEF976A"/>
    <w:rsid w:val="7BF63541"/>
    <w:rsid w:val="7BFD1D5C"/>
    <w:rsid w:val="7C75C5E2"/>
    <w:rsid w:val="7CC7E58D"/>
    <w:rsid w:val="7D3E9A73"/>
    <w:rsid w:val="7D5BADD7"/>
    <w:rsid w:val="7D5E9E43"/>
    <w:rsid w:val="7D6A6D96"/>
    <w:rsid w:val="7D7EFF2A"/>
    <w:rsid w:val="7DBBE0EA"/>
    <w:rsid w:val="7DDFEEC2"/>
    <w:rsid w:val="7DDFF354"/>
    <w:rsid w:val="7DEF867A"/>
    <w:rsid w:val="7DF7F19E"/>
    <w:rsid w:val="7DF9EDF4"/>
    <w:rsid w:val="7DFEB89E"/>
    <w:rsid w:val="7E3EB1CA"/>
    <w:rsid w:val="7E4B0D8F"/>
    <w:rsid w:val="7E59CB3F"/>
    <w:rsid w:val="7E7F90C3"/>
    <w:rsid w:val="7EC76DF7"/>
    <w:rsid w:val="7EDE220A"/>
    <w:rsid w:val="7EDEE193"/>
    <w:rsid w:val="7EE73715"/>
    <w:rsid w:val="7EE7E6EC"/>
    <w:rsid w:val="7EEB4770"/>
    <w:rsid w:val="7EEB9E26"/>
    <w:rsid w:val="7EF3AC57"/>
    <w:rsid w:val="7EFAE626"/>
    <w:rsid w:val="7EFE1F69"/>
    <w:rsid w:val="7EFF0876"/>
    <w:rsid w:val="7EFF2C33"/>
    <w:rsid w:val="7EFFAD4B"/>
    <w:rsid w:val="7EFFE851"/>
    <w:rsid w:val="7F17627D"/>
    <w:rsid w:val="7F2E71EE"/>
    <w:rsid w:val="7F3DE0A8"/>
    <w:rsid w:val="7F3EA221"/>
    <w:rsid w:val="7F3EBC4A"/>
    <w:rsid w:val="7F3F1566"/>
    <w:rsid w:val="7F5748B2"/>
    <w:rsid w:val="7F5CE048"/>
    <w:rsid w:val="7F5F6603"/>
    <w:rsid w:val="7F5FA54D"/>
    <w:rsid w:val="7F6FD8D3"/>
    <w:rsid w:val="7F726BDD"/>
    <w:rsid w:val="7F7D26FC"/>
    <w:rsid w:val="7F7F664B"/>
    <w:rsid w:val="7F7F8DFE"/>
    <w:rsid w:val="7F7FE13C"/>
    <w:rsid w:val="7F7FF0BB"/>
    <w:rsid w:val="7F7FFE50"/>
    <w:rsid w:val="7F87166F"/>
    <w:rsid w:val="7F933068"/>
    <w:rsid w:val="7F945CF6"/>
    <w:rsid w:val="7F9A1016"/>
    <w:rsid w:val="7F9BC318"/>
    <w:rsid w:val="7F9F64D1"/>
    <w:rsid w:val="7FAD40C4"/>
    <w:rsid w:val="7FB352AF"/>
    <w:rsid w:val="7FB580EA"/>
    <w:rsid w:val="7FBA4960"/>
    <w:rsid w:val="7FBA6789"/>
    <w:rsid w:val="7FBD9F45"/>
    <w:rsid w:val="7FBEC417"/>
    <w:rsid w:val="7FD713E5"/>
    <w:rsid w:val="7FD755E1"/>
    <w:rsid w:val="7FD89957"/>
    <w:rsid w:val="7FDA8FFD"/>
    <w:rsid w:val="7FDBACC7"/>
    <w:rsid w:val="7FDBB638"/>
    <w:rsid w:val="7FDF6007"/>
    <w:rsid w:val="7FDFA6B2"/>
    <w:rsid w:val="7FEBBDA6"/>
    <w:rsid w:val="7FEF1A19"/>
    <w:rsid w:val="7FEF3065"/>
    <w:rsid w:val="7FF1D8F3"/>
    <w:rsid w:val="7FF33825"/>
    <w:rsid w:val="7FF3AE95"/>
    <w:rsid w:val="7FF503C3"/>
    <w:rsid w:val="7FF6A303"/>
    <w:rsid w:val="7FF71B86"/>
    <w:rsid w:val="7FF73179"/>
    <w:rsid w:val="7FF7D60A"/>
    <w:rsid w:val="7FF92330"/>
    <w:rsid w:val="7FF92D2E"/>
    <w:rsid w:val="7FF9973E"/>
    <w:rsid w:val="7FF9BCB7"/>
    <w:rsid w:val="7FFB8744"/>
    <w:rsid w:val="7FFE3105"/>
    <w:rsid w:val="7FFE58FE"/>
    <w:rsid w:val="7FFF5A44"/>
    <w:rsid w:val="7FFFAD03"/>
    <w:rsid w:val="7FFFE0E8"/>
    <w:rsid w:val="7FFFF5F7"/>
    <w:rsid w:val="82DECDE4"/>
    <w:rsid w:val="83B38234"/>
    <w:rsid w:val="84E62DA0"/>
    <w:rsid w:val="8DF65198"/>
    <w:rsid w:val="8EFC16C8"/>
    <w:rsid w:val="8F4E6FE3"/>
    <w:rsid w:val="8FFFFE48"/>
    <w:rsid w:val="931F6338"/>
    <w:rsid w:val="959145D4"/>
    <w:rsid w:val="95971454"/>
    <w:rsid w:val="97CFB29B"/>
    <w:rsid w:val="97E3A570"/>
    <w:rsid w:val="97F48A59"/>
    <w:rsid w:val="97FAC56B"/>
    <w:rsid w:val="97FF7D3B"/>
    <w:rsid w:val="9B6FC1BF"/>
    <w:rsid w:val="9B7F5274"/>
    <w:rsid w:val="9C5D3CAB"/>
    <w:rsid w:val="9E860BFE"/>
    <w:rsid w:val="9F5F21CE"/>
    <w:rsid w:val="9F76E100"/>
    <w:rsid w:val="9F7B5007"/>
    <w:rsid w:val="9F7FDB6D"/>
    <w:rsid w:val="9F9F78FB"/>
    <w:rsid w:val="9FB45A4D"/>
    <w:rsid w:val="9FC61DD4"/>
    <w:rsid w:val="9FD75221"/>
    <w:rsid w:val="A7ED0E4B"/>
    <w:rsid w:val="A9FC976F"/>
    <w:rsid w:val="ABFFF140"/>
    <w:rsid w:val="AC6FC85E"/>
    <w:rsid w:val="AF3FC755"/>
    <w:rsid w:val="AFDE654A"/>
    <w:rsid w:val="AFDF6DF8"/>
    <w:rsid w:val="AFEF3A81"/>
    <w:rsid w:val="AFFF178D"/>
    <w:rsid w:val="B36FFD67"/>
    <w:rsid w:val="B37E0FE8"/>
    <w:rsid w:val="B3BFED58"/>
    <w:rsid w:val="B4BFF9D0"/>
    <w:rsid w:val="B4FF90B1"/>
    <w:rsid w:val="B5DFD0B4"/>
    <w:rsid w:val="B5E3FF78"/>
    <w:rsid w:val="B5FF3D8A"/>
    <w:rsid w:val="B6FF5C53"/>
    <w:rsid w:val="B79FAC70"/>
    <w:rsid w:val="B7AB82AD"/>
    <w:rsid w:val="B7E7CAC8"/>
    <w:rsid w:val="B7FB37DF"/>
    <w:rsid w:val="B7FFFBF1"/>
    <w:rsid w:val="B95D195D"/>
    <w:rsid w:val="B9F75766"/>
    <w:rsid w:val="B9F78C34"/>
    <w:rsid w:val="B9FA1721"/>
    <w:rsid w:val="BAD310CA"/>
    <w:rsid w:val="BB27D571"/>
    <w:rsid w:val="BB3F79B8"/>
    <w:rsid w:val="BB4E8FDC"/>
    <w:rsid w:val="BB6593FD"/>
    <w:rsid w:val="BB766CE5"/>
    <w:rsid w:val="BBD78F70"/>
    <w:rsid w:val="BC7F42D7"/>
    <w:rsid w:val="BC7F737E"/>
    <w:rsid w:val="BCFFDF61"/>
    <w:rsid w:val="BDD9BAC8"/>
    <w:rsid w:val="BDEE8674"/>
    <w:rsid w:val="BDFD7D59"/>
    <w:rsid w:val="BDFF195F"/>
    <w:rsid w:val="BE9FE722"/>
    <w:rsid w:val="BEBE5FE8"/>
    <w:rsid w:val="BEDC5F90"/>
    <w:rsid w:val="BEEF82B1"/>
    <w:rsid w:val="BEFF5BCD"/>
    <w:rsid w:val="BF275EEE"/>
    <w:rsid w:val="BF7560F6"/>
    <w:rsid w:val="BF7B38A2"/>
    <w:rsid w:val="BFC79399"/>
    <w:rsid w:val="BFE5576B"/>
    <w:rsid w:val="BFE7E662"/>
    <w:rsid w:val="BFF4BED7"/>
    <w:rsid w:val="BFFA13E2"/>
    <w:rsid w:val="BFFC65FC"/>
    <w:rsid w:val="BFFF3F19"/>
    <w:rsid w:val="C61E5C0F"/>
    <w:rsid w:val="C6DB7A3D"/>
    <w:rsid w:val="C9FF1C12"/>
    <w:rsid w:val="C9FF6FBF"/>
    <w:rsid w:val="CADBA073"/>
    <w:rsid w:val="CAFBB1B8"/>
    <w:rsid w:val="CDF643FB"/>
    <w:rsid w:val="CDFFDC1C"/>
    <w:rsid w:val="CE5F962F"/>
    <w:rsid w:val="CE9C8520"/>
    <w:rsid w:val="CF6D121F"/>
    <w:rsid w:val="CFB55390"/>
    <w:rsid w:val="D2CDB82D"/>
    <w:rsid w:val="D33F3108"/>
    <w:rsid w:val="D375EB44"/>
    <w:rsid w:val="D5FB0126"/>
    <w:rsid w:val="D67FCE6D"/>
    <w:rsid w:val="D75F4527"/>
    <w:rsid w:val="D7BF38F2"/>
    <w:rsid w:val="D7BFFC75"/>
    <w:rsid w:val="D7FF8249"/>
    <w:rsid w:val="D7FFED61"/>
    <w:rsid w:val="D9FB9C68"/>
    <w:rsid w:val="DBBBC1BC"/>
    <w:rsid w:val="DBED4872"/>
    <w:rsid w:val="DBFC6518"/>
    <w:rsid w:val="DBFF831A"/>
    <w:rsid w:val="DC37234F"/>
    <w:rsid w:val="DC771B22"/>
    <w:rsid w:val="DC97507B"/>
    <w:rsid w:val="DCFD9637"/>
    <w:rsid w:val="DCFF5C07"/>
    <w:rsid w:val="DD365974"/>
    <w:rsid w:val="DD3F9E6B"/>
    <w:rsid w:val="DD7DE7B2"/>
    <w:rsid w:val="DDAC9FCE"/>
    <w:rsid w:val="DDBFE721"/>
    <w:rsid w:val="DEAE67C0"/>
    <w:rsid w:val="DEBBBFA8"/>
    <w:rsid w:val="DEBE884E"/>
    <w:rsid w:val="DEF0E4D6"/>
    <w:rsid w:val="DEF94F31"/>
    <w:rsid w:val="DEFFADB3"/>
    <w:rsid w:val="DF5F9207"/>
    <w:rsid w:val="DF6FD972"/>
    <w:rsid w:val="DF758D65"/>
    <w:rsid w:val="DF7E7868"/>
    <w:rsid w:val="DF7F87D2"/>
    <w:rsid w:val="DF9F18B7"/>
    <w:rsid w:val="DFAA9EE7"/>
    <w:rsid w:val="DFB19F3F"/>
    <w:rsid w:val="DFB22C10"/>
    <w:rsid w:val="DFF07C49"/>
    <w:rsid w:val="DFF1FA21"/>
    <w:rsid w:val="DFF26FAB"/>
    <w:rsid w:val="DFF90E79"/>
    <w:rsid w:val="E2F7040E"/>
    <w:rsid w:val="E2FF4238"/>
    <w:rsid w:val="E3BEA154"/>
    <w:rsid w:val="E3DFD583"/>
    <w:rsid w:val="E4F0524B"/>
    <w:rsid w:val="E57D04B7"/>
    <w:rsid w:val="E5EB1A64"/>
    <w:rsid w:val="E6FDEDA9"/>
    <w:rsid w:val="E7A70001"/>
    <w:rsid w:val="E7F1561E"/>
    <w:rsid w:val="E7FA97E7"/>
    <w:rsid w:val="E8FF3B65"/>
    <w:rsid w:val="EA1AB42B"/>
    <w:rsid w:val="EACA9015"/>
    <w:rsid w:val="EAFF8773"/>
    <w:rsid w:val="EB6FB479"/>
    <w:rsid w:val="EB9FCBA8"/>
    <w:rsid w:val="EBAFD558"/>
    <w:rsid w:val="EBBB7E79"/>
    <w:rsid w:val="EBFCA39E"/>
    <w:rsid w:val="ECFE39D7"/>
    <w:rsid w:val="ED1C9FF1"/>
    <w:rsid w:val="EDEB3C90"/>
    <w:rsid w:val="EDFDF467"/>
    <w:rsid w:val="EDFF26E0"/>
    <w:rsid w:val="EE45A719"/>
    <w:rsid w:val="EE7FD37A"/>
    <w:rsid w:val="EEBF47C3"/>
    <w:rsid w:val="EED8AE31"/>
    <w:rsid w:val="EEF71271"/>
    <w:rsid w:val="EEFFE95F"/>
    <w:rsid w:val="EF3FC475"/>
    <w:rsid w:val="EF5F36B3"/>
    <w:rsid w:val="EF7B6849"/>
    <w:rsid w:val="EF7F5D9C"/>
    <w:rsid w:val="EF7F9985"/>
    <w:rsid w:val="EF8DE674"/>
    <w:rsid w:val="EFAC7682"/>
    <w:rsid w:val="EFB917E1"/>
    <w:rsid w:val="EFBF6234"/>
    <w:rsid w:val="EFD3BCF6"/>
    <w:rsid w:val="EFD9D3F6"/>
    <w:rsid w:val="EFF11992"/>
    <w:rsid w:val="EFFF2860"/>
    <w:rsid w:val="EFFF7DDE"/>
    <w:rsid w:val="F1AA798B"/>
    <w:rsid w:val="F34791D1"/>
    <w:rsid w:val="F34DEADE"/>
    <w:rsid w:val="F3AFF0CF"/>
    <w:rsid w:val="F48B667F"/>
    <w:rsid w:val="F4AFDE02"/>
    <w:rsid w:val="F4B91193"/>
    <w:rsid w:val="F517D27F"/>
    <w:rsid w:val="F5734B93"/>
    <w:rsid w:val="F5BF574D"/>
    <w:rsid w:val="F5BFA25F"/>
    <w:rsid w:val="F5DE0B4C"/>
    <w:rsid w:val="F5E7CDB8"/>
    <w:rsid w:val="F5EDBDAD"/>
    <w:rsid w:val="F67E6860"/>
    <w:rsid w:val="F67F2E89"/>
    <w:rsid w:val="F67FBF17"/>
    <w:rsid w:val="F6BB621B"/>
    <w:rsid w:val="F6BD9ED4"/>
    <w:rsid w:val="F6EF0CFC"/>
    <w:rsid w:val="F6FEAC6D"/>
    <w:rsid w:val="F72D785F"/>
    <w:rsid w:val="F73E7ABA"/>
    <w:rsid w:val="F75A909D"/>
    <w:rsid w:val="F7B31472"/>
    <w:rsid w:val="F7B70E39"/>
    <w:rsid w:val="F7DB1E86"/>
    <w:rsid w:val="F7E971B8"/>
    <w:rsid w:val="F7F7736A"/>
    <w:rsid w:val="F7FAB9E1"/>
    <w:rsid w:val="F7FB3F82"/>
    <w:rsid w:val="F7FE3C00"/>
    <w:rsid w:val="F7FE8353"/>
    <w:rsid w:val="F8FF0571"/>
    <w:rsid w:val="F9334F16"/>
    <w:rsid w:val="F95EA5D1"/>
    <w:rsid w:val="F979CCFF"/>
    <w:rsid w:val="F97F7937"/>
    <w:rsid w:val="F9A1A01A"/>
    <w:rsid w:val="FABE8E31"/>
    <w:rsid w:val="FADA5569"/>
    <w:rsid w:val="FAFFC9A8"/>
    <w:rsid w:val="FB3572E8"/>
    <w:rsid w:val="FB5944C5"/>
    <w:rsid w:val="FB5BD8F7"/>
    <w:rsid w:val="FB5FB96D"/>
    <w:rsid w:val="FB8B30CA"/>
    <w:rsid w:val="FBB3F41F"/>
    <w:rsid w:val="FBBF5911"/>
    <w:rsid w:val="FBD7AEBB"/>
    <w:rsid w:val="FBFE1EC6"/>
    <w:rsid w:val="FBFEE176"/>
    <w:rsid w:val="FCAF424D"/>
    <w:rsid w:val="FD79A4D5"/>
    <w:rsid w:val="FD97E0A6"/>
    <w:rsid w:val="FDB7205E"/>
    <w:rsid w:val="FDB9B528"/>
    <w:rsid w:val="FDD974A5"/>
    <w:rsid w:val="FDF73A51"/>
    <w:rsid w:val="FDFAEC4D"/>
    <w:rsid w:val="FDFD1E1C"/>
    <w:rsid w:val="FDFDD129"/>
    <w:rsid w:val="FDFE0ABB"/>
    <w:rsid w:val="FDFF11C7"/>
    <w:rsid w:val="FE68F704"/>
    <w:rsid w:val="FE6ECA1F"/>
    <w:rsid w:val="FE6EDFD3"/>
    <w:rsid w:val="FE770C90"/>
    <w:rsid w:val="FE78C317"/>
    <w:rsid w:val="FEAF3F14"/>
    <w:rsid w:val="FECE5FD3"/>
    <w:rsid w:val="FEDB32AA"/>
    <w:rsid w:val="FEDFE766"/>
    <w:rsid w:val="FEE7BC4A"/>
    <w:rsid w:val="FEEBA517"/>
    <w:rsid w:val="FEF70A3B"/>
    <w:rsid w:val="FEF72B5A"/>
    <w:rsid w:val="FEFBB825"/>
    <w:rsid w:val="FEFFCA1F"/>
    <w:rsid w:val="FF3BAE6B"/>
    <w:rsid w:val="FF5719CD"/>
    <w:rsid w:val="FF57BFBF"/>
    <w:rsid w:val="FF5F637F"/>
    <w:rsid w:val="FF623ECB"/>
    <w:rsid w:val="FF66D33A"/>
    <w:rsid w:val="FF6B0F98"/>
    <w:rsid w:val="FF6FB74D"/>
    <w:rsid w:val="FF76D2C8"/>
    <w:rsid w:val="FF77A05C"/>
    <w:rsid w:val="FF7D14C0"/>
    <w:rsid w:val="FF7E8F33"/>
    <w:rsid w:val="FF7F6CF0"/>
    <w:rsid w:val="FF7FDE57"/>
    <w:rsid w:val="FF8A6FEC"/>
    <w:rsid w:val="FF9FC696"/>
    <w:rsid w:val="FFAEABE7"/>
    <w:rsid w:val="FFB23C84"/>
    <w:rsid w:val="FFB31E7D"/>
    <w:rsid w:val="FFB3D35F"/>
    <w:rsid w:val="FFB695F7"/>
    <w:rsid w:val="FFB7074A"/>
    <w:rsid w:val="FFB7EDB3"/>
    <w:rsid w:val="FFB9E440"/>
    <w:rsid w:val="FFBD74A2"/>
    <w:rsid w:val="FFBE9FF9"/>
    <w:rsid w:val="FFBEA6A2"/>
    <w:rsid w:val="FFBF3249"/>
    <w:rsid w:val="FFCF9DF8"/>
    <w:rsid w:val="FFCFB89D"/>
    <w:rsid w:val="FFDF0A64"/>
    <w:rsid w:val="FFE11E49"/>
    <w:rsid w:val="FFEBBE7D"/>
    <w:rsid w:val="FFF2BF34"/>
    <w:rsid w:val="FFF3364B"/>
    <w:rsid w:val="FFF69C93"/>
    <w:rsid w:val="FFF841C1"/>
    <w:rsid w:val="FFFB565A"/>
    <w:rsid w:val="FFFB8C9B"/>
    <w:rsid w:val="FFFD7FC6"/>
    <w:rsid w:val="FFFD927A"/>
    <w:rsid w:val="FFFDFC26"/>
    <w:rsid w:val="FFFE979D"/>
    <w:rsid w:val="FFFF3FAF"/>
    <w:rsid w:val="FFFF484A"/>
    <w:rsid w:val="FFFF8BEE"/>
    <w:rsid w:val="FFFF8E8B"/>
    <w:rsid w:val="FFFFC352"/>
    <w:rsid w:val="FFFFD5A7"/>
    <w:rsid w:val="FFFFEC77"/>
    <w:rsid w:val="FFFFF51B"/>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unhideWhenUsed/>
    <w:qFormat/>
    <w:uiPriority w:val="9"/>
    <w:pPr>
      <w:spacing w:beforeAutospacing="1" w:afterAutospacing="1"/>
      <w:jc w:val="left"/>
      <w:outlineLvl w:val="2"/>
    </w:pPr>
    <w:rPr>
      <w:rFonts w:hint="eastAsia" w:ascii="宋体" w:hAnsi="宋体" w:eastAsia="宋体" w:cs="Times New Roman"/>
      <w:b/>
      <w:kern w:val="0"/>
      <w:sz w:val="27"/>
      <w:szCs w:val="27"/>
    </w:rPr>
  </w:style>
  <w:style w:type="character" w:default="1" w:styleId="16">
    <w:name w:val="Default Paragraph Font"/>
    <w:unhideWhenUsed/>
    <w:qFormat/>
    <w:uiPriority w:val="1"/>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26"/>
    <w:unhideWhenUsed/>
    <w:qFormat/>
    <w:uiPriority w:val="99"/>
    <w:rPr>
      <w:b/>
      <w:bCs/>
    </w:rPr>
  </w:style>
  <w:style w:type="paragraph" w:styleId="6">
    <w:name w:val="annotation text"/>
    <w:basedOn w:val="1"/>
    <w:link w:val="25"/>
    <w:unhideWhenUsed/>
    <w:qFormat/>
    <w:uiPriority w:val="99"/>
    <w:pPr>
      <w:jc w:val="left"/>
    </w:pPr>
  </w:style>
  <w:style w:type="paragraph" w:styleId="7">
    <w:name w:val="toc 3"/>
    <w:basedOn w:val="1"/>
    <w:next w:val="1"/>
    <w:unhideWhenUsed/>
    <w:qFormat/>
    <w:uiPriority w:val="39"/>
    <w:pPr>
      <w:spacing w:line="500" w:lineRule="exact"/>
      <w:ind w:left="400" w:leftChars="400"/>
    </w:pPr>
    <w:rPr>
      <w:rFonts w:ascii="Times New Roman" w:hAnsi="Times New Roman" w:eastAsia="仿宋_GB2312" w:cs="黑体"/>
      <w:sz w:val="28"/>
    </w:rPr>
  </w:style>
  <w:style w:type="paragraph" w:styleId="8">
    <w:name w:val="Date"/>
    <w:basedOn w:val="1"/>
    <w:next w:val="1"/>
    <w:link w:val="31"/>
    <w:unhideWhenUsed/>
    <w:qFormat/>
    <w:uiPriority w:val="99"/>
    <w:pPr>
      <w:ind w:left="100" w:leftChars="2500"/>
    </w:pPr>
  </w:style>
  <w:style w:type="paragraph" w:styleId="9">
    <w:name w:val="Balloon Text"/>
    <w:basedOn w:val="1"/>
    <w:link w:val="24"/>
    <w:unhideWhenUsed/>
    <w:qFormat/>
    <w:uiPriority w:val="99"/>
    <w:rPr>
      <w:sz w:val="18"/>
      <w:szCs w:val="18"/>
    </w:rPr>
  </w:style>
  <w:style w:type="paragraph" w:styleId="10">
    <w:name w:val="footer"/>
    <w:basedOn w:val="1"/>
    <w:link w:val="22"/>
    <w:unhideWhenUsed/>
    <w:qFormat/>
    <w:uiPriority w:val="99"/>
    <w:pPr>
      <w:tabs>
        <w:tab w:val="center" w:pos="4153"/>
        <w:tab w:val="right" w:pos="8306"/>
      </w:tabs>
      <w:snapToGrid w:val="0"/>
      <w:jc w:val="left"/>
    </w:pPr>
    <w:rPr>
      <w:sz w:val="18"/>
      <w:szCs w:val="18"/>
    </w:rPr>
  </w:style>
  <w:style w:type="paragraph" w:styleId="11">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spacing w:line="500" w:lineRule="exact"/>
    </w:pPr>
    <w:rPr>
      <w:rFonts w:ascii="Times New Roman" w:hAnsi="Times New Roman" w:eastAsia="黑体" w:cs="黑体"/>
      <w:sz w:val="28"/>
    </w:rPr>
  </w:style>
  <w:style w:type="paragraph" w:styleId="13">
    <w:name w:val="toc 2"/>
    <w:basedOn w:val="1"/>
    <w:next w:val="1"/>
    <w:unhideWhenUsed/>
    <w:qFormat/>
    <w:uiPriority w:val="39"/>
    <w:pPr>
      <w:spacing w:line="500" w:lineRule="exact"/>
      <w:ind w:left="200" w:leftChars="200"/>
    </w:pPr>
    <w:rPr>
      <w:rFonts w:ascii="Times New Roman" w:hAnsi="Times New Roman" w:eastAsia="仿宋_GB2312" w:cs="黑体"/>
      <w:sz w:val="28"/>
    </w:rPr>
  </w:style>
  <w:style w:type="paragraph" w:styleId="14">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15">
    <w:name w:val="Normal (Web)"/>
    <w:basedOn w:val="1"/>
    <w:qFormat/>
    <w:uiPriority w:val="99"/>
    <w:pPr>
      <w:spacing w:before="100" w:beforeAutospacing="1" w:after="100" w:afterAutospacing="1"/>
      <w:jc w:val="left"/>
    </w:pPr>
    <w:rPr>
      <w:rFonts w:ascii="Calibri" w:hAnsi="Calibri" w:eastAsia="宋体" w:cs="Times New Roman"/>
      <w:kern w:val="0"/>
      <w:sz w:val="24"/>
      <w:szCs w:val="24"/>
    </w:rPr>
  </w:style>
  <w:style w:type="character" w:styleId="17">
    <w:name w:val="Hyperlink"/>
    <w:basedOn w:val="16"/>
    <w:unhideWhenUsed/>
    <w:qFormat/>
    <w:uiPriority w:val="99"/>
    <w:rPr>
      <w:color w:val="0000FF"/>
      <w:u w:val="none"/>
    </w:rPr>
  </w:style>
  <w:style w:type="character" w:styleId="18">
    <w:name w:val="annotation reference"/>
    <w:basedOn w:val="16"/>
    <w:unhideWhenUsed/>
    <w:qFormat/>
    <w:uiPriority w:val="99"/>
    <w:rPr>
      <w:sz w:val="21"/>
      <w:szCs w:val="21"/>
    </w:rPr>
  </w:style>
  <w:style w:type="table" w:styleId="20">
    <w:name w:val="Table Grid"/>
    <w:basedOn w:val="19"/>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1">
    <w:name w:val="页眉 Char"/>
    <w:basedOn w:val="16"/>
    <w:link w:val="11"/>
    <w:qFormat/>
    <w:uiPriority w:val="99"/>
    <w:rPr>
      <w:sz w:val="18"/>
      <w:szCs w:val="18"/>
    </w:rPr>
  </w:style>
  <w:style w:type="character" w:customStyle="1" w:styleId="22">
    <w:name w:val="页脚 Char"/>
    <w:basedOn w:val="16"/>
    <w:link w:val="10"/>
    <w:qFormat/>
    <w:uiPriority w:val="99"/>
    <w:rPr>
      <w:sz w:val="18"/>
      <w:szCs w:val="18"/>
    </w:rPr>
  </w:style>
  <w:style w:type="paragraph" w:customStyle="1" w:styleId="23">
    <w:name w:val="List Paragraph"/>
    <w:basedOn w:val="1"/>
    <w:qFormat/>
    <w:uiPriority w:val="34"/>
    <w:pPr>
      <w:ind w:firstLine="420" w:firstLineChars="200"/>
    </w:pPr>
  </w:style>
  <w:style w:type="character" w:customStyle="1" w:styleId="24">
    <w:name w:val="批注框文本 Char"/>
    <w:basedOn w:val="16"/>
    <w:link w:val="9"/>
    <w:semiHidden/>
    <w:qFormat/>
    <w:uiPriority w:val="99"/>
    <w:rPr>
      <w:sz w:val="18"/>
      <w:szCs w:val="18"/>
    </w:rPr>
  </w:style>
  <w:style w:type="character" w:customStyle="1" w:styleId="25">
    <w:name w:val="批注文字 Char"/>
    <w:basedOn w:val="16"/>
    <w:link w:val="6"/>
    <w:semiHidden/>
    <w:qFormat/>
    <w:uiPriority w:val="99"/>
  </w:style>
  <w:style w:type="character" w:customStyle="1" w:styleId="26">
    <w:name w:val="批注主题 Char"/>
    <w:basedOn w:val="25"/>
    <w:link w:val="5"/>
    <w:semiHidden/>
    <w:qFormat/>
    <w:uiPriority w:val="99"/>
    <w:rPr>
      <w:b/>
      <w:bCs/>
    </w:rPr>
  </w:style>
  <w:style w:type="character" w:customStyle="1" w:styleId="27">
    <w:name w:val="标题 2 Char"/>
    <w:basedOn w:val="16"/>
    <w:link w:val="3"/>
    <w:qFormat/>
    <w:uiPriority w:val="9"/>
    <w:rPr>
      <w:rFonts w:asciiTheme="majorHAnsi" w:hAnsiTheme="majorHAnsi" w:eastAsiaTheme="majorEastAsia" w:cstheme="majorBidi"/>
      <w:b/>
      <w:bCs/>
      <w:sz w:val="32"/>
      <w:szCs w:val="32"/>
    </w:rPr>
  </w:style>
  <w:style w:type="paragraph" w:customStyle="1" w:styleId="28">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29">
    <w:name w:val="标题 1 Char"/>
    <w:basedOn w:val="16"/>
    <w:link w:val="2"/>
    <w:qFormat/>
    <w:uiPriority w:val="9"/>
    <w:rPr>
      <w:b/>
      <w:bCs/>
      <w:kern w:val="44"/>
      <w:sz w:val="44"/>
      <w:szCs w:val="44"/>
    </w:rPr>
  </w:style>
  <w:style w:type="paragraph" w:customStyle="1" w:styleId="30">
    <w:name w:val="列出段落1"/>
    <w:basedOn w:val="1"/>
    <w:qFormat/>
    <w:uiPriority w:val="0"/>
    <w:pPr>
      <w:ind w:firstLine="420" w:firstLineChars="200"/>
    </w:pPr>
    <w:rPr>
      <w:rFonts w:ascii="Calibri" w:hAnsi="Calibri" w:eastAsia="宋体" w:cs="Times New Roman"/>
    </w:rPr>
  </w:style>
  <w:style w:type="character" w:customStyle="1" w:styleId="31">
    <w:name w:val="日期 Char"/>
    <w:basedOn w:val="16"/>
    <w:link w:val="8"/>
    <w:semiHidden/>
    <w:qFormat/>
    <w:uiPriority w:val="99"/>
  </w:style>
  <w:style w:type="character" w:customStyle="1" w:styleId="32">
    <w:name w:val="NormalCharacter"/>
    <w:semiHidden/>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740</Words>
  <Characters>4221</Characters>
  <Lines>35</Lines>
  <Paragraphs>9</Paragraphs>
  <TotalTime>0</TotalTime>
  <ScaleCrop>false</ScaleCrop>
  <LinksUpToDate>false</LinksUpToDate>
  <CharactersWithSpaces>4952</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2021-06-20T00:30:00Z</dcterms:created>
  <dc:creator>lenovo</dc:creator>
  <cp:lastModifiedBy>徐立科</cp:lastModifiedBy>
  <cp:lastPrinted>2021-06-20T00:35:00Z</cp:lastPrinted>
  <dcterms:modified xsi:type="dcterms:W3CDTF">2022-04-06T00:36:18Z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y fmtid="{D5CDD505-2E9C-101B-9397-08002B2CF9AE}" pid="3" name="ICV">
    <vt:lpwstr>9EBD1140F1CD427DB660F9CEAC27F708</vt:lpwstr>
  </property>
</Properties>
</file>